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6A2" w:rsidRPr="0004789A" w:rsidRDefault="008E56A2" w:rsidP="008E56A2">
      <w:pPr>
        <w:pStyle w:val="10"/>
        <w:keepNext/>
        <w:keepLines/>
        <w:spacing w:line="240" w:lineRule="auto"/>
        <w:ind w:firstLine="0"/>
        <w:rPr>
          <w:rFonts w:ascii="Times New Roman" w:eastAsia="Times New Roman" w:hAnsi="Times New Roman" w:cs="Times New Roman"/>
          <w:kern w:val="24"/>
          <w:sz w:val="24"/>
          <w:szCs w:val="24"/>
          <w:lang w:eastAsia="ru-RU"/>
        </w:rPr>
      </w:pPr>
      <w:r w:rsidRPr="0004789A">
        <w:rPr>
          <w:rFonts w:ascii="Times New Roman" w:eastAsia="Times New Roman" w:hAnsi="Times New Roman" w:cs="Times New Roman"/>
          <w:kern w:val="24"/>
          <w:sz w:val="24"/>
          <w:szCs w:val="24"/>
          <w:lang w:eastAsia="ru-RU"/>
        </w:rPr>
        <w:t>Кодификатор Перечень элементов содержания проверяемых на итоговой контрольной работе по технологии 5</w:t>
      </w:r>
      <w:r w:rsidR="0004789A" w:rsidRPr="0004789A">
        <w:rPr>
          <w:rFonts w:ascii="Times New Roman" w:eastAsia="Times New Roman" w:hAnsi="Times New Roman" w:cs="Times New Roman"/>
          <w:kern w:val="24"/>
          <w:sz w:val="24"/>
          <w:szCs w:val="24"/>
          <w:lang w:eastAsia="ru-RU"/>
        </w:rPr>
        <w:t>-8</w:t>
      </w:r>
      <w:r w:rsidRPr="0004789A">
        <w:rPr>
          <w:rFonts w:ascii="Times New Roman" w:eastAsia="Times New Roman" w:hAnsi="Times New Roman" w:cs="Times New Roman"/>
          <w:kern w:val="24"/>
          <w:sz w:val="24"/>
          <w:szCs w:val="24"/>
          <w:lang w:eastAsia="ru-RU"/>
        </w:rPr>
        <w:t xml:space="preserve"> класс (Приложение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761"/>
        <w:gridCol w:w="7938"/>
      </w:tblGrid>
      <w:tr w:rsidR="008E56A2" w:rsidRPr="0004789A" w:rsidTr="00B21116">
        <w:tc>
          <w:tcPr>
            <w:tcW w:w="1526" w:type="dxa"/>
            <w:gridSpan w:val="2"/>
          </w:tcPr>
          <w:p w:rsidR="008E56A2" w:rsidRPr="0004789A" w:rsidRDefault="00305B83"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Pr>
                <w:rFonts w:ascii="Times New Roman" w:eastAsia="Times New Roman" w:hAnsi="Times New Roman" w:cs="Times New Roman"/>
                <w:b w:val="0"/>
                <w:kern w:val="24"/>
                <w:sz w:val="24"/>
                <w:szCs w:val="24"/>
                <w:lang w:eastAsia="ru-RU"/>
              </w:rPr>
              <w:t>Код  П</w:t>
            </w:r>
            <w:bookmarkStart w:id="0" w:name="_GoBack"/>
            <w:bookmarkEnd w:id="0"/>
            <w:r w:rsidR="008E56A2" w:rsidRPr="0004789A">
              <w:rPr>
                <w:rFonts w:ascii="Times New Roman" w:eastAsia="Times New Roman" w:hAnsi="Times New Roman" w:cs="Times New Roman"/>
                <w:b w:val="0"/>
                <w:kern w:val="24"/>
                <w:sz w:val="24"/>
                <w:szCs w:val="24"/>
                <w:lang w:eastAsia="ru-RU"/>
              </w:rPr>
              <w:t xml:space="preserve">Э </w:t>
            </w:r>
            <w:proofErr w:type="gramStart"/>
            <w:r w:rsidR="008E56A2" w:rsidRPr="0004789A">
              <w:rPr>
                <w:rFonts w:ascii="Times New Roman" w:eastAsia="Times New Roman" w:hAnsi="Times New Roman" w:cs="Times New Roman"/>
                <w:b w:val="0"/>
                <w:kern w:val="24"/>
                <w:sz w:val="24"/>
                <w:szCs w:val="24"/>
                <w:lang w:eastAsia="ru-RU"/>
              </w:rPr>
              <w:t>С</w:t>
            </w:r>
            <w:proofErr w:type="gramEnd"/>
          </w:p>
        </w:tc>
        <w:tc>
          <w:tcPr>
            <w:tcW w:w="7938" w:type="dxa"/>
          </w:tcPr>
          <w:p w:rsidR="008E56A2" w:rsidRPr="0004789A" w:rsidRDefault="008E56A2" w:rsidP="00B21116">
            <w:pPr>
              <w:pStyle w:val="10"/>
              <w:keepNext/>
              <w:keepLines/>
              <w:spacing w:line="240" w:lineRule="auto"/>
              <w:ind w:firstLine="0"/>
              <w:jc w:val="center"/>
              <w:rPr>
                <w:rFonts w:ascii="Times New Roman" w:eastAsia="Times New Roman" w:hAnsi="Times New Roman" w:cs="Times New Roman"/>
                <w:b w:val="0"/>
                <w:kern w:val="24"/>
                <w:sz w:val="24"/>
                <w:szCs w:val="24"/>
                <w:lang w:eastAsia="ru-RU"/>
              </w:rPr>
            </w:pPr>
            <w:r w:rsidRPr="0004789A">
              <w:rPr>
                <w:rFonts w:ascii="Times New Roman" w:hAnsi="Times New Roman" w:cs="Times New Roman"/>
                <w:b w:val="0"/>
                <w:bCs w:val="0"/>
                <w:color w:val="000000"/>
                <w:sz w:val="24"/>
                <w:szCs w:val="24"/>
                <w:shd w:val="clear" w:color="auto" w:fill="FFFFFF"/>
              </w:rPr>
              <w:t>Элементы содержания, проверяемые на контрольной работе</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w:t>
            </w:r>
          </w:p>
        </w:tc>
        <w:tc>
          <w:tcPr>
            <w:tcW w:w="8699" w:type="dxa"/>
            <w:gridSpan w:val="2"/>
          </w:tcPr>
          <w:p w:rsidR="008E56A2" w:rsidRPr="0004789A" w:rsidRDefault="008E56A2" w:rsidP="00B21116">
            <w:pPr>
              <w:tabs>
                <w:tab w:val="left" w:pos="851"/>
              </w:tabs>
              <w:contextualSpacing/>
              <w:jc w:val="both"/>
              <w:rPr>
                <w:rFonts w:ascii="Times New Roman" w:hAnsi="Times New Roman" w:cs="Times New Roman"/>
                <w:b/>
                <w:kern w:val="24"/>
              </w:rPr>
            </w:pPr>
            <w:r w:rsidRPr="0004789A">
              <w:rPr>
                <w:rFonts w:ascii="Times New Roman" w:hAnsi="Times New Roman" w:cs="Times New Roman"/>
                <w:b/>
              </w:rPr>
              <w:t>Современные материальные, информационные и гуманитарные технологии и перспективы их развития</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1.1</w:t>
            </w:r>
          </w:p>
        </w:tc>
        <w:tc>
          <w:tcPr>
            <w:tcW w:w="7938"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hAnsi="Times New Roman" w:cs="Times New Roman"/>
                <w:b w:val="0"/>
                <w:sz w:val="24"/>
                <w:szCs w:val="24"/>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1.2</w:t>
            </w:r>
          </w:p>
        </w:tc>
        <w:tc>
          <w:tcPr>
            <w:tcW w:w="7938"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hAnsi="Times New Roman" w:cs="Times New Roman"/>
                <w:b w:val="0"/>
                <w:sz w:val="24"/>
                <w:szCs w:val="24"/>
              </w:rPr>
              <w:t>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1.3</w:t>
            </w:r>
          </w:p>
        </w:tc>
        <w:tc>
          <w:tcPr>
            <w:tcW w:w="7938" w:type="dxa"/>
          </w:tcPr>
          <w:p w:rsidR="008E56A2" w:rsidRPr="0004789A" w:rsidRDefault="008E56A2" w:rsidP="00B21116">
            <w:pPr>
              <w:tabs>
                <w:tab w:val="left" w:pos="851"/>
              </w:tabs>
              <w:ind w:firstLine="34"/>
              <w:contextualSpacing/>
              <w:jc w:val="both"/>
              <w:rPr>
                <w:rFonts w:ascii="Times New Roman" w:hAnsi="Times New Roman" w:cs="Times New Roman"/>
                <w:kern w:val="24"/>
              </w:rPr>
            </w:pPr>
            <w:r w:rsidRPr="0004789A">
              <w:rPr>
                <w:rFonts w:ascii="Times New Roman" w:hAnsi="Times New Roman" w:cs="Times New Roman"/>
              </w:rPr>
              <w:t>История развития технологий. Источники развития технологий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 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1.4</w:t>
            </w:r>
          </w:p>
        </w:tc>
        <w:tc>
          <w:tcPr>
            <w:tcW w:w="7938" w:type="dxa"/>
          </w:tcPr>
          <w:p w:rsidR="008E56A2" w:rsidRPr="0004789A" w:rsidRDefault="008E56A2" w:rsidP="00B21116">
            <w:pPr>
              <w:pStyle w:val="-11"/>
              <w:tabs>
                <w:tab w:val="left" w:pos="851"/>
              </w:tabs>
              <w:ind w:left="0" w:firstLine="34"/>
              <w:jc w:val="both"/>
              <w:rPr>
                <w:kern w:val="24"/>
              </w:rPr>
            </w:pPr>
            <w:r w:rsidRPr="0004789A">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1.5</w:t>
            </w:r>
          </w:p>
        </w:tc>
        <w:tc>
          <w:tcPr>
            <w:tcW w:w="7938" w:type="dxa"/>
          </w:tcPr>
          <w:p w:rsidR="008E56A2" w:rsidRPr="0004789A" w:rsidRDefault="008E56A2" w:rsidP="00B21116">
            <w:pPr>
              <w:pStyle w:val="-11"/>
              <w:tabs>
                <w:tab w:val="left" w:pos="851"/>
              </w:tabs>
              <w:ind w:left="0" w:firstLine="34"/>
              <w:jc w:val="both"/>
              <w:rPr>
                <w:kern w:val="24"/>
              </w:rPr>
            </w:pPr>
            <w:r w:rsidRPr="0004789A">
              <w:t xml:space="preserve">Производственные технологии. Промышленные технологии. Технологии сельского хозяйства. Технологии возведения, ремонта и содержания зданий и сооружений. Производство, преобразование, распределение, накопление и передача энергии как технология. Устройства для накопления энергии. Устройства для передачи энергии. Пути сокращения потерь энергии. Альтернативные источники энергии. Автоматизация производства. Производственные технологии автоматизированного производства. Материалы, изменившие мир. Технологии получения материалов. </w:t>
            </w:r>
          </w:p>
        </w:tc>
      </w:tr>
      <w:tr w:rsidR="008E56A2" w:rsidRPr="0004789A" w:rsidTr="0004789A">
        <w:trPr>
          <w:trHeight w:val="5234"/>
        </w:trPr>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1.6</w:t>
            </w:r>
          </w:p>
        </w:tc>
        <w:tc>
          <w:tcPr>
            <w:tcW w:w="7938" w:type="dxa"/>
          </w:tcPr>
          <w:p w:rsidR="008E56A2" w:rsidRPr="0004789A" w:rsidRDefault="008E56A2" w:rsidP="00B21116">
            <w:pPr>
              <w:pStyle w:val="-11"/>
              <w:tabs>
                <w:tab w:val="left" w:pos="851"/>
              </w:tabs>
              <w:ind w:left="0" w:firstLine="34"/>
              <w:jc w:val="both"/>
            </w:pPr>
            <w:proofErr w:type="spellStart"/>
            <w:r w:rsidRPr="0004789A">
              <w:t>Современнын</w:t>
            </w:r>
            <w:proofErr w:type="spellEnd"/>
            <w:r w:rsidRPr="0004789A">
              <w:t xml:space="preserve"> технологии.  Современные материалы. Технологии получения и обработки материалов с заданными свойствами. </w:t>
            </w:r>
            <w:proofErr w:type="spellStart"/>
            <w:r w:rsidRPr="0004789A">
              <w:t>Биотехнологии</w:t>
            </w:r>
            <w:proofErr w:type="gramStart"/>
            <w:r w:rsidRPr="0004789A">
              <w:t>.С</w:t>
            </w:r>
            <w:proofErr w:type="gramEnd"/>
            <w:r w:rsidRPr="0004789A">
              <w:t>пецифика</w:t>
            </w:r>
            <w:proofErr w:type="spellEnd"/>
            <w:r w:rsidRPr="0004789A">
              <w:t xml:space="preserve"> социальных технологий. Технологии работы с общественным мнением. Социальные сети как технология. Технологии сферы услуг. Современные промышленные технологии получения продуктов питания.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 </w:t>
            </w:r>
            <w:proofErr w:type="spellStart"/>
            <w:r w:rsidRPr="0004789A">
              <w:t>Нанотехнологии</w:t>
            </w:r>
            <w:proofErr w:type="spellEnd"/>
            <w:r w:rsidRPr="0004789A">
              <w:t>. Электроника (</w:t>
            </w:r>
            <w:proofErr w:type="spellStart"/>
            <w:r w:rsidRPr="0004789A">
              <w:t>фотоника</w:t>
            </w:r>
            <w:proofErr w:type="spellEnd"/>
            <w:r w:rsidRPr="0004789A">
              <w:t xml:space="preserve">). Квантовые компьютеры. Медицинские технологии. Тестирующие препараты. Генная инженерия. Создание органов и организмов с искусственной генетической программой. </w:t>
            </w:r>
            <w:proofErr w:type="spellStart"/>
            <w:r w:rsidRPr="0004789A">
              <w:t>Нанотехнологии</w:t>
            </w:r>
            <w:proofErr w:type="spellEnd"/>
            <w:r w:rsidRPr="0004789A">
              <w:t>. Электроника (</w:t>
            </w:r>
            <w:proofErr w:type="spellStart"/>
            <w:r w:rsidRPr="0004789A">
              <w:t>фотоника</w:t>
            </w:r>
            <w:proofErr w:type="spellEnd"/>
            <w:r w:rsidRPr="0004789A">
              <w:t>). Квантовые компьютеры. Медицинские технологии. Тестирующие препараты. Генная инженерия. Создание органов и организмов с искусственной генетической программой.</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1.7</w:t>
            </w:r>
          </w:p>
        </w:tc>
        <w:tc>
          <w:tcPr>
            <w:tcW w:w="7938" w:type="dxa"/>
          </w:tcPr>
          <w:p w:rsidR="008E56A2" w:rsidRPr="0004789A" w:rsidRDefault="008E56A2" w:rsidP="00B21116">
            <w:pPr>
              <w:pStyle w:val="-11"/>
              <w:tabs>
                <w:tab w:val="left" w:pos="851"/>
              </w:tabs>
              <w:ind w:left="0" w:firstLine="34"/>
              <w:jc w:val="both"/>
            </w:pPr>
            <w:r w:rsidRPr="0004789A">
              <w:t>Управление в современном производстве. Роль метрологии в современном производстве. Инновационные предприятия. Трансферт технологий.</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1.8</w:t>
            </w:r>
          </w:p>
        </w:tc>
        <w:tc>
          <w:tcPr>
            <w:tcW w:w="7938" w:type="dxa"/>
          </w:tcPr>
          <w:p w:rsidR="008E56A2" w:rsidRPr="0004789A" w:rsidRDefault="008E56A2" w:rsidP="00B21116">
            <w:pPr>
              <w:pStyle w:val="-11"/>
              <w:tabs>
                <w:tab w:val="left" w:pos="851"/>
              </w:tabs>
              <w:ind w:left="0" w:firstLine="34"/>
              <w:jc w:val="both"/>
            </w:pPr>
            <w:r w:rsidRPr="0004789A">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1.10</w:t>
            </w:r>
          </w:p>
        </w:tc>
        <w:tc>
          <w:tcPr>
            <w:tcW w:w="7938" w:type="dxa"/>
          </w:tcPr>
          <w:p w:rsidR="008E56A2" w:rsidRPr="0004789A" w:rsidRDefault="008E56A2" w:rsidP="00B21116">
            <w:pPr>
              <w:pStyle w:val="-11"/>
              <w:tabs>
                <w:tab w:val="left" w:pos="851"/>
              </w:tabs>
              <w:ind w:left="0" w:firstLine="34"/>
              <w:jc w:val="both"/>
            </w:pPr>
            <w:r w:rsidRPr="0004789A">
              <w:t>Технологии в сфере быта</w:t>
            </w:r>
            <w:r w:rsidRPr="0004789A">
              <w:rPr>
                <w:lang w:eastAsia="en-US"/>
              </w:rPr>
              <w:t xml:space="preserve">. </w:t>
            </w:r>
            <w:r w:rsidRPr="0004789A">
              <w:t>Экология жилья. Технологии содержания жилья. Взаимодействие со службами ЖКХ. Хранение продовольственных и непродовольственных продуктов. 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Способы обработки продуктов питания и потребительские качества пищи. Культура потребления: выбор продукта / услуги.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w:t>
            </w:r>
          </w:p>
        </w:tc>
        <w:tc>
          <w:tcPr>
            <w:tcW w:w="8699" w:type="dxa"/>
            <w:gridSpan w:val="2"/>
          </w:tcPr>
          <w:p w:rsidR="008E56A2" w:rsidRPr="0004789A" w:rsidRDefault="008E56A2" w:rsidP="00B21116">
            <w:pPr>
              <w:pStyle w:val="10"/>
              <w:keepNext/>
              <w:keepLines/>
              <w:tabs>
                <w:tab w:val="left" w:pos="851"/>
              </w:tabs>
              <w:spacing w:line="240" w:lineRule="auto"/>
              <w:ind w:firstLine="34"/>
              <w:rPr>
                <w:rFonts w:ascii="Times New Roman" w:eastAsia="Times New Roman" w:hAnsi="Times New Roman" w:cs="Times New Roman"/>
                <w:kern w:val="24"/>
                <w:sz w:val="24"/>
                <w:szCs w:val="24"/>
                <w:lang w:eastAsia="ru-RU"/>
              </w:rPr>
            </w:pPr>
            <w:r w:rsidRPr="0004789A">
              <w:rPr>
                <w:rFonts w:ascii="Times New Roman" w:hAnsi="Times New Roman" w:cs="Times New Roman"/>
                <w:sz w:val="24"/>
                <w:szCs w:val="24"/>
              </w:rPr>
              <w:t xml:space="preserve">Формирование технологической культуры и проектно-технологического мышления </w:t>
            </w:r>
            <w:proofErr w:type="gramStart"/>
            <w:r w:rsidRPr="0004789A">
              <w:rPr>
                <w:rFonts w:ascii="Times New Roman" w:hAnsi="Times New Roman" w:cs="Times New Roman"/>
                <w:sz w:val="24"/>
                <w:szCs w:val="24"/>
              </w:rPr>
              <w:t>обучающихся</w:t>
            </w:r>
            <w:proofErr w:type="gramEnd"/>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bCs w:val="0"/>
                <w:sz w:val="24"/>
                <w:szCs w:val="24"/>
              </w:rPr>
            </w:pPr>
            <w:r w:rsidRPr="0004789A">
              <w:rPr>
                <w:rFonts w:ascii="Times New Roman" w:hAnsi="Times New Roman" w:cs="Times New Roman"/>
                <w:b w:val="0"/>
                <w:sz w:val="24"/>
                <w:szCs w:val="24"/>
              </w:rPr>
              <w:t>Способы представления технической и технологической информации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2.2</w:t>
            </w:r>
          </w:p>
        </w:tc>
        <w:tc>
          <w:tcPr>
            <w:tcW w:w="7938" w:type="dxa"/>
          </w:tcPr>
          <w:p w:rsidR="008E56A2" w:rsidRPr="0004789A" w:rsidRDefault="008E56A2" w:rsidP="00B21116">
            <w:pPr>
              <w:pStyle w:val="-11"/>
              <w:tabs>
                <w:tab w:val="left" w:pos="851"/>
              </w:tabs>
              <w:ind w:left="0" w:firstLine="34"/>
              <w:jc w:val="both"/>
              <w:rPr>
                <w:rFonts w:eastAsia="Calibri"/>
                <w:bCs/>
                <w:lang w:eastAsia="en-US"/>
              </w:rPr>
            </w:pPr>
            <w:r w:rsidRPr="0004789A">
              <w:t xml:space="preserve">Техники проектирования, конструирования, моделирования. Опыт проектирования, конструирования, моделирования. </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2.3</w:t>
            </w:r>
          </w:p>
        </w:tc>
        <w:tc>
          <w:tcPr>
            <w:tcW w:w="7938" w:type="dxa"/>
          </w:tcPr>
          <w:p w:rsidR="008E56A2" w:rsidRPr="0004789A" w:rsidRDefault="008E56A2" w:rsidP="00B21116">
            <w:pPr>
              <w:pStyle w:val="-11"/>
              <w:tabs>
                <w:tab w:val="left" w:pos="851"/>
              </w:tabs>
              <w:ind w:left="0" w:firstLine="34"/>
              <w:jc w:val="both"/>
              <w:rPr>
                <w:rFonts w:eastAsia="Calibri"/>
                <w:bCs/>
                <w:lang w:eastAsia="en-US"/>
              </w:rPr>
            </w:pPr>
            <w:r w:rsidRPr="0004789A">
              <w:t xml:space="preserve">Порядок действий по сборке конструкции / механизма. Способы соединения деталей. Технологический узел. Понятие модели. </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2.4</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bCs w:val="0"/>
                <w:sz w:val="24"/>
                <w:szCs w:val="24"/>
              </w:rPr>
            </w:pPr>
            <w:r w:rsidRPr="0004789A">
              <w:rPr>
                <w:rFonts w:ascii="Times New Roman" w:hAnsi="Times New Roman" w:cs="Times New Roman"/>
                <w:b w:val="0"/>
                <w:sz w:val="24"/>
                <w:szCs w:val="24"/>
              </w:rPr>
              <w:t>Логика проектирования технологической системы. Модернизация изделия и создание нового изделия как виды проектирования технологической системы.</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2.5</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bCs w:val="0"/>
                <w:sz w:val="24"/>
                <w:szCs w:val="24"/>
              </w:rPr>
            </w:pPr>
            <w:r w:rsidRPr="0004789A">
              <w:rPr>
                <w:rFonts w:ascii="Times New Roman" w:hAnsi="Times New Roman" w:cs="Times New Roman"/>
                <w:b w:val="0"/>
                <w:sz w:val="24"/>
                <w:szCs w:val="24"/>
              </w:rPr>
              <w:t>Простые механизмы как часть технологических систем.</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2.6</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Анализ и синтез как средства решения задачи.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2.7</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Логика построения и особенности разработки отдельных видов проектов</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2.8</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Способы продвижения продукта на рынке.</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2.9</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Сборка моделей. Исследование характеристик конструкций. Проектирование и конструирование моделей по известному прототипу.</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2.10</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 xml:space="preserve">Составление карт простых механизмов, включая сборку действующей </w:t>
            </w:r>
            <w:r w:rsidRPr="0004789A">
              <w:rPr>
                <w:rFonts w:ascii="Times New Roman" w:hAnsi="Times New Roman" w:cs="Times New Roman"/>
                <w:b w:val="0"/>
                <w:sz w:val="24"/>
                <w:szCs w:val="24"/>
              </w:rPr>
              <w:lastRenderedPageBreak/>
              <w:t>модели в среде образовательного конструктора.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2.11</w:t>
            </w:r>
          </w:p>
        </w:tc>
        <w:tc>
          <w:tcPr>
            <w:tcW w:w="7938" w:type="dxa"/>
          </w:tcPr>
          <w:p w:rsidR="008E56A2" w:rsidRPr="0004789A" w:rsidRDefault="008E56A2" w:rsidP="00B21116">
            <w:pPr>
              <w:pStyle w:val="-11"/>
              <w:tabs>
                <w:tab w:val="left" w:pos="851"/>
              </w:tabs>
              <w:ind w:left="0" w:firstLine="34"/>
              <w:jc w:val="both"/>
              <w:rPr>
                <w:b/>
                <w:lang w:eastAsia="en-US"/>
              </w:rPr>
            </w:pPr>
            <w:r w:rsidRPr="0004789A">
              <w:t>Составление технологической карты известного технологического процесса. Апробация путей оптимизации технологического процесса.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2.12</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Изготовление информационного продукта по заданному алгоритму.</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2.13</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Моделирование процесса управления в социальной системе. Компьютерное моделирование, проведение виртуального эксперимента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2.14</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Разработка и создание изделия средствами учебного станка, управляемого программой компьютерного трехмерного проектирования.</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2.15</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2.16</w:t>
            </w:r>
          </w:p>
        </w:tc>
        <w:tc>
          <w:tcPr>
            <w:tcW w:w="7938" w:type="dxa"/>
          </w:tcPr>
          <w:p w:rsidR="008E56A2" w:rsidRPr="0004789A" w:rsidRDefault="008E56A2" w:rsidP="00B21116">
            <w:pPr>
              <w:pStyle w:val="-11"/>
              <w:tabs>
                <w:tab w:val="left" w:pos="851"/>
              </w:tabs>
              <w:ind w:left="0" w:firstLine="34"/>
              <w:jc w:val="both"/>
              <w:rPr>
                <w:b/>
                <w:lang w:eastAsia="en-US"/>
              </w:rPr>
            </w:pPr>
            <w:r w:rsidRPr="0004789A">
              <w:t>Разработка и изготовление материального продукта. Апробация полученного материального продукта. Модернизация материального продукта.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2.17</w:t>
            </w:r>
          </w:p>
        </w:tc>
        <w:tc>
          <w:tcPr>
            <w:tcW w:w="7938" w:type="dxa"/>
          </w:tcPr>
          <w:p w:rsidR="008E56A2" w:rsidRPr="0004789A" w:rsidRDefault="008E56A2" w:rsidP="00B21116">
            <w:pPr>
              <w:pStyle w:val="-11"/>
              <w:tabs>
                <w:tab w:val="left" w:pos="851"/>
              </w:tabs>
              <w:ind w:left="0" w:firstLine="34"/>
              <w:jc w:val="both"/>
              <w:rPr>
                <w:b/>
                <w:lang w:eastAsia="en-US"/>
              </w:rPr>
            </w:pPr>
            <w:r w:rsidRPr="0004789A">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2.18</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Разработка проектного замысла по алгоритму («бытовые мелочи»)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2.19</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Разработка проекта освещения выбранного помещения, включая отбор конкретных приборов, составление схемы электропроводки.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2.20</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2.21</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proofErr w:type="gramStart"/>
            <w:r w:rsidRPr="0004789A">
              <w:rPr>
                <w:rFonts w:ascii="Times New Roman" w:hAnsi="Times New Roman" w:cs="Times New Roman"/>
                <w:b w:val="0"/>
                <w:sz w:val="24"/>
                <w:szCs w:val="24"/>
              </w:rPr>
              <w:t>Разработка и реализации персонального проекта, направленного на разрешение личностно значимой для обучающегося проблемы.</w:t>
            </w:r>
            <w:proofErr w:type="gramEnd"/>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w:t>
            </w:r>
          </w:p>
        </w:tc>
        <w:tc>
          <w:tcPr>
            <w:tcW w:w="8699" w:type="dxa"/>
            <w:gridSpan w:val="2"/>
          </w:tcPr>
          <w:p w:rsidR="008E56A2" w:rsidRPr="0004789A" w:rsidRDefault="008E56A2" w:rsidP="00B21116">
            <w:pPr>
              <w:pStyle w:val="10"/>
              <w:keepNext/>
              <w:keepLines/>
              <w:tabs>
                <w:tab w:val="left" w:pos="851"/>
              </w:tabs>
              <w:spacing w:line="240" w:lineRule="auto"/>
              <w:ind w:firstLine="34"/>
              <w:jc w:val="center"/>
              <w:rPr>
                <w:rFonts w:ascii="Times New Roman" w:hAnsi="Times New Roman" w:cs="Times New Roman"/>
                <w:sz w:val="24"/>
                <w:szCs w:val="24"/>
              </w:rPr>
            </w:pPr>
            <w:r w:rsidRPr="0004789A">
              <w:rPr>
                <w:rFonts w:ascii="Times New Roman" w:hAnsi="Times New Roman" w:cs="Times New Roman"/>
                <w:sz w:val="24"/>
                <w:szCs w:val="24"/>
              </w:rPr>
              <w:t>Построение образовательных траекторий и планов в области профессионального самоопределения</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3.1</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proofErr w:type="gramStart"/>
            <w:r w:rsidRPr="0004789A">
              <w:rPr>
                <w:rFonts w:ascii="Times New Roman" w:hAnsi="Times New Roman" w:cs="Times New Roman"/>
                <w:b w:val="0"/>
                <w:sz w:val="24"/>
                <w:szCs w:val="24"/>
              </w:rPr>
              <w:t>Предприятия региона проживания обучающихся, работающие на основе современных производственных технологий</w:t>
            </w:r>
            <w:proofErr w:type="gramEnd"/>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3.2</w:t>
            </w:r>
          </w:p>
        </w:tc>
        <w:tc>
          <w:tcPr>
            <w:tcW w:w="7938" w:type="dxa"/>
          </w:tcPr>
          <w:p w:rsidR="008E56A2" w:rsidRPr="0004789A" w:rsidRDefault="008E56A2" w:rsidP="00B21116">
            <w:pPr>
              <w:pStyle w:val="-11"/>
              <w:tabs>
                <w:tab w:val="left" w:pos="851"/>
              </w:tabs>
              <w:ind w:left="0" w:firstLine="34"/>
              <w:jc w:val="both"/>
              <w:rPr>
                <w:rFonts w:eastAsia="Calibri"/>
                <w:lang w:eastAsia="en-US"/>
              </w:rPr>
            </w:pPr>
            <w:r w:rsidRPr="0004789A">
              <w:t xml:space="preserve">Обзор ведущих технологий, применяющихся на предприятиях региона, рабочие места и их функции. </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3.3</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 xml:space="preserve">Производство и потребление энергии в регионе проживания </w:t>
            </w:r>
            <w:proofErr w:type="gramStart"/>
            <w:r w:rsidRPr="0004789A">
              <w:rPr>
                <w:rFonts w:ascii="Times New Roman" w:hAnsi="Times New Roman" w:cs="Times New Roman"/>
                <w:b w:val="0"/>
                <w:sz w:val="24"/>
                <w:szCs w:val="24"/>
              </w:rPr>
              <w:t>обучающихся</w:t>
            </w:r>
            <w:proofErr w:type="gramEnd"/>
            <w:r w:rsidRPr="0004789A">
              <w:rPr>
                <w:rFonts w:ascii="Times New Roman" w:hAnsi="Times New Roman" w:cs="Times New Roman"/>
                <w:b w:val="0"/>
                <w:sz w:val="24"/>
                <w:szCs w:val="24"/>
              </w:rPr>
              <w:t>, профессии в сфере энергетики..</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3.4</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3.5</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Производство материалов на предприятиях региона проживания обучающихся.</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3.6</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Производство продуктов питания на предприятиях региона проживания обучающихся.</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3.7</w:t>
            </w:r>
          </w:p>
        </w:tc>
        <w:tc>
          <w:tcPr>
            <w:tcW w:w="7938" w:type="dxa"/>
          </w:tcPr>
          <w:p w:rsidR="008E56A2" w:rsidRPr="0004789A" w:rsidRDefault="008E56A2" w:rsidP="00B21116">
            <w:pPr>
              <w:pStyle w:val="10"/>
              <w:keepNext/>
              <w:keepLines/>
              <w:tabs>
                <w:tab w:val="left" w:pos="851"/>
              </w:tabs>
              <w:spacing w:line="240" w:lineRule="auto"/>
              <w:ind w:firstLine="34"/>
              <w:rPr>
                <w:rFonts w:ascii="Times New Roman" w:hAnsi="Times New Roman" w:cs="Times New Roman"/>
                <w:b w:val="0"/>
                <w:sz w:val="24"/>
                <w:szCs w:val="24"/>
              </w:rPr>
            </w:pPr>
            <w:r w:rsidRPr="0004789A">
              <w:rPr>
                <w:rFonts w:ascii="Times New Roman" w:hAnsi="Times New Roman" w:cs="Times New Roman"/>
                <w:b w:val="0"/>
                <w:sz w:val="24"/>
                <w:szCs w:val="24"/>
              </w:rPr>
              <w:t>Организация транспорта людей и грузов в регионе проживания обучающихся, спектр профессий.</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3.8</w:t>
            </w:r>
          </w:p>
        </w:tc>
        <w:tc>
          <w:tcPr>
            <w:tcW w:w="7938" w:type="dxa"/>
          </w:tcPr>
          <w:p w:rsidR="008E56A2" w:rsidRPr="0004789A" w:rsidRDefault="008E56A2" w:rsidP="00B21116">
            <w:pPr>
              <w:pStyle w:val="-11"/>
              <w:tabs>
                <w:tab w:val="left" w:pos="851"/>
              </w:tabs>
              <w:ind w:left="0" w:firstLine="34"/>
              <w:jc w:val="both"/>
              <w:rPr>
                <w:rFonts w:eastAsia="Calibri"/>
                <w:lang w:eastAsia="en-US"/>
              </w:rPr>
            </w:pPr>
            <w:r w:rsidRPr="0004789A">
              <w:t xml:space="preserve">Понятия трудового ресурса, рынка труда. Характеристики современного рынка труда. </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3.9</w:t>
            </w:r>
          </w:p>
        </w:tc>
        <w:tc>
          <w:tcPr>
            <w:tcW w:w="7938" w:type="dxa"/>
          </w:tcPr>
          <w:p w:rsidR="008E56A2" w:rsidRPr="0004789A" w:rsidRDefault="008E56A2" w:rsidP="00B21116">
            <w:pPr>
              <w:pStyle w:val="-11"/>
              <w:tabs>
                <w:tab w:val="left" w:pos="851"/>
              </w:tabs>
              <w:ind w:left="0" w:firstLine="34"/>
              <w:jc w:val="both"/>
            </w:pPr>
            <w:r w:rsidRPr="0004789A">
              <w:t xml:space="preserve">Квалификации и профессии. Цикл жизни профессии. </w:t>
            </w:r>
            <w:r w:rsidRPr="0004789A">
              <w:rPr>
                <w:i/>
              </w:rPr>
              <w:t>Стратегии профессиональной карьеры.</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3.10</w:t>
            </w:r>
          </w:p>
        </w:tc>
        <w:tc>
          <w:tcPr>
            <w:tcW w:w="7938" w:type="dxa"/>
          </w:tcPr>
          <w:p w:rsidR="008E56A2" w:rsidRPr="0004789A" w:rsidRDefault="008E56A2" w:rsidP="00B21116">
            <w:pPr>
              <w:pStyle w:val="-11"/>
              <w:tabs>
                <w:tab w:val="left" w:pos="851"/>
              </w:tabs>
              <w:ind w:left="0" w:firstLine="34"/>
              <w:jc w:val="both"/>
            </w:pPr>
            <w:r w:rsidRPr="0004789A">
              <w:t>Современные требования к кадрам. Концепции «обучения для жизни» и «обучения через всю жизнь».</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3.11</w:t>
            </w:r>
          </w:p>
        </w:tc>
        <w:tc>
          <w:tcPr>
            <w:tcW w:w="7938" w:type="dxa"/>
          </w:tcPr>
          <w:p w:rsidR="008E56A2" w:rsidRPr="0004789A" w:rsidRDefault="008E56A2" w:rsidP="00B21116">
            <w:pPr>
              <w:pStyle w:val="-11"/>
              <w:tabs>
                <w:tab w:val="left" w:pos="851"/>
              </w:tabs>
              <w:ind w:left="0" w:firstLine="34"/>
              <w:jc w:val="both"/>
              <w:rPr>
                <w:rFonts w:eastAsia="Calibri"/>
                <w:lang w:eastAsia="en-US"/>
              </w:rPr>
            </w:pPr>
            <w:r w:rsidRPr="0004789A">
              <w:t xml:space="preserve">Система профильного обучения: права, обязанности и возможности. </w:t>
            </w:r>
          </w:p>
        </w:tc>
      </w:tr>
      <w:tr w:rsidR="008E56A2" w:rsidRPr="0004789A" w:rsidTr="00B21116">
        <w:tc>
          <w:tcPr>
            <w:tcW w:w="765"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p>
        </w:tc>
        <w:tc>
          <w:tcPr>
            <w:tcW w:w="761" w:type="dxa"/>
          </w:tcPr>
          <w:p w:rsidR="008E56A2" w:rsidRPr="0004789A" w:rsidRDefault="008E56A2" w:rsidP="00B21116">
            <w:pPr>
              <w:pStyle w:val="10"/>
              <w:keepNext/>
              <w:keepLines/>
              <w:spacing w:line="240" w:lineRule="auto"/>
              <w:ind w:firstLine="0"/>
              <w:rPr>
                <w:rFonts w:ascii="Times New Roman" w:eastAsia="Times New Roman" w:hAnsi="Times New Roman" w:cs="Times New Roman"/>
                <w:b w:val="0"/>
                <w:kern w:val="24"/>
                <w:sz w:val="24"/>
                <w:szCs w:val="24"/>
                <w:lang w:eastAsia="ru-RU"/>
              </w:rPr>
            </w:pPr>
            <w:r w:rsidRPr="0004789A">
              <w:rPr>
                <w:rFonts w:ascii="Times New Roman" w:eastAsia="Times New Roman" w:hAnsi="Times New Roman" w:cs="Times New Roman"/>
                <w:b w:val="0"/>
                <w:kern w:val="24"/>
                <w:sz w:val="24"/>
                <w:szCs w:val="24"/>
                <w:lang w:eastAsia="ru-RU"/>
              </w:rPr>
              <w:t>3.12</w:t>
            </w:r>
          </w:p>
        </w:tc>
        <w:tc>
          <w:tcPr>
            <w:tcW w:w="7938" w:type="dxa"/>
          </w:tcPr>
          <w:p w:rsidR="008E56A2" w:rsidRPr="0004789A" w:rsidRDefault="008E56A2" w:rsidP="00B21116">
            <w:pPr>
              <w:pStyle w:val="-11"/>
              <w:tabs>
                <w:tab w:val="left" w:pos="851"/>
              </w:tabs>
              <w:ind w:left="0" w:firstLine="34"/>
              <w:jc w:val="both"/>
              <w:rPr>
                <w:rFonts w:eastAsia="Calibri"/>
                <w:lang w:eastAsia="en-US"/>
              </w:rPr>
            </w:pPr>
            <w:r w:rsidRPr="0004789A">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r>
    </w:tbl>
    <w:p w:rsidR="008E56A2" w:rsidRPr="0004789A" w:rsidRDefault="008E56A2" w:rsidP="008E56A2">
      <w:pPr>
        <w:pStyle w:val="10"/>
        <w:keepNext/>
        <w:keepLines/>
        <w:spacing w:line="240" w:lineRule="auto"/>
        <w:rPr>
          <w:rFonts w:ascii="Times New Roman" w:eastAsia="Times New Roman" w:hAnsi="Times New Roman" w:cs="Times New Roman"/>
          <w:kern w:val="24"/>
          <w:sz w:val="24"/>
          <w:szCs w:val="24"/>
          <w:lang w:eastAsia="ru-RU"/>
        </w:rPr>
      </w:pPr>
    </w:p>
    <w:p w:rsidR="00B64E9B" w:rsidRPr="0004789A" w:rsidRDefault="00B64E9B">
      <w:pPr>
        <w:rPr>
          <w:rFonts w:ascii="Times New Roman" w:hAnsi="Times New Roman" w:cs="Times New Roman"/>
        </w:rPr>
      </w:pPr>
    </w:p>
    <w:sectPr w:rsidR="00B64E9B" w:rsidRPr="000478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A2"/>
    <w:rsid w:val="0004789A"/>
    <w:rsid w:val="00305B83"/>
    <w:rsid w:val="008E56A2"/>
    <w:rsid w:val="00B64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6A2"/>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0"/>
    <w:uiPriority w:val="99"/>
    <w:rsid w:val="008E56A2"/>
    <w:rPr>
      <w:b/>
      <w:bCs/>
    </w:rPr>
  </w:style>
  <w:style w:type="paragraph" w:customStyle="1" w:styleId="10">
    <w:name w:val="Заголовок №1"/>
    <w:basedOn w:val="a"/>
    <w:link w:val="1"/>
    <w:uiPriority w:val="99"/>
    <w:rsid w:val="008E56A2"/>
    <w:pPr>
      <w:spacing w:line="274" w:lineRule="exact"/>
      <w:ind w:firstLine="280"/>
      <w:jc w:val="both"/>
      <w:outlineLvl w:val="0"/>
    </w:pPr>
    <w:rPr>
      <w:rFonts w:asciiTheme="minorHAnsi" w:eastAsiaTheme="minorHAnsi" w:hAnsiTheme="minorHAnsi" w:cstheme="minorBidi"/>
      <w:b/>
      <w:bCs/>
      <w:color w:val="auto"/>
      <w:sz w:val="22"/>
      <w:szCs w:val="22"/>
      <w:lang w:eastAsia="en-US"/>
    </w:rPr>
  </w:style>
  <w:style w:type="paragraph" w:customStyle="1" w:styleId="-11">
    <w:name w:val="Цветной список - Акцент 11"/>
    <w:basedOn w:val="a"/>
    <w:qFormat/>
    <w:rsid w:val="008E56A2"/>
    <w:pPr>
      <w:widowControl/>
      <w:ind w:left="720"/>
      <w:contextualSpacing/>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6A2"/>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0"/>
    <w:uiPriority w:val="99"/>
    <w:rsid w:val="008E56A2"/>
    <w:rPr>
      <w:b/>
      <w:bCs/>
    </w:rPr>
  </w:style>
  <w:style w:type="paragraph" w:customStyle="1" w:styleId="10">
    <w:name w:val="Заголовок №1"/>
    <w:basedOn w:val="a"/>
    <w:link w:val="1"/>
    <w:uiPriority w:val="99"/>
    <w:rsid w:val="008E56A2"/>
    <w:pPr>
      <w:spacing w:line="274" w:lineRule="exact"/>
      <w:ind w:firstLine="280"/>
      <w:jc w:val="both"/>
      <w:outlineLvl w:val="0"/>
    </w:pPr>
    <w:rPr>
      <w:rFonts w:asciiTheme="minorHAnsi" w:eastAsiaTheme="minorHAnsi" w:hAnsiTheme="minorHAnsi" w:cstheme="minorBidi"/>
      <w:b/>
      <w:bCs/>
      <w:color w:val="auto"/>
      <w:sz w:val="22"/>
      <w:szCs w:val="22"/>
      <w:lang w:eastAsia="en-US"/>
    </w:rPr>
  </w:style>
  <w:style w:type="paragraph" w:customStyle="1" w:styleId="-11">
    <w:name w:val="Цветной список - Акцент 11"/>
    <w:basedOn w:val="a"/>
    <w:qFormat/>
    <w:rsid w:val="008E56A2"/>
    <w:pPr>
      <w:widowControl/>
      <w:ind w:left="720"/>
      <w:contextualSpacing/>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3</cp:revision>
  <dcterms:created xsi:type="dcterms:W3CDTF">2019-06-25T06:48:00Z</dcterms:created>
  <dcterms:modified xsi:type="dcterms:W3CDTF">2019-12-05T16:23:00Z</dcterms:modified>
</cp:coreProperties>
</file>