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7A4" w:rsidRPr="00B737A4" w:rsidRDefault="00B737A4" w:rsidP="00B737A4">
      <w:pPr>
        <w:spacing w:after="0"/>
        <w:jc w:val="right"/>
        <w:rPr>
          <w:bCs/>
        </w:rPr>
      </w:pPr>
      <w:r w:rsidRPr="00B737A4">
        <w:rPr>
          <w:bCs/>
        </w:rPr>
        <w:t>МОУ «</w:t>
      </w:r>
      <w:proofErr w:type="spellStart"/>
      <w:r w:rsidRPr="00B737A4">
        <w:rPr>
          <w:bCs/>
        </w:rPr>
        <w:t>Пьянковская</w:t>
      </w:r>
      <w:proofErr w:type="spellEnd"/>
      <w:r w:rsidRPr="00B737A4">
        <w:rPr>
          <w:bCs/>
        </w:rPr>
        <w:t xml:space="preserve"> ООШ» </w:t>
      </w:r>
      <w:proofErr w:type="spellStart"/>
      <w:r w:rsidRPr="00B737A4">
        <w:rPr>
          <w:bCs/>
        </w:rPr>
        <w:t>Шорикова</w:t>
      </w:r>
      <w:proofErr w:type="spellEnd"/>
      <w:r w:rsidRPr="00B737A4">
        <w:rPr>
          <w:bCs/>
        </w:rPr>
        <w:t xml:space="preserve"> Е.С.</w:t>
      </w:r>
    </w:p>
    <w:p w:rsidR="001E024A" w:rsidRDefault="00CF61DE" w:rsidP="00CF61DE">
      <w:pPr>
        <w:spacing w:after="0"/>
        <w:jc w:val="center"/>
        <w:rPr>
          <w:b/>
          <w:bCs/>
        </w:rPr>
      </w:pPr>
      <w:r w:rsidRPr="00CF61DE">
        <w:rPr>
          <w:b/>
          <w:bCs/>
        </w:rPr>
        <w:t>Апробация диагностических инструментов для изучения профессиональных дефицитов руководящих и педагогических работников</w:t>
      </w:r>
    </w:p>
    <w:p w:rsidR="00CF61DE" w:rsidRDefault="00CF61DE" w:rsidP="00CF61DE">
      <w:pPr>
        <w:spacing w:after="0"/>
        <w:ind w:firstLine="426"/>
        <w:jc w:val="both"/>
      </w:pPr>
      <w:r w:rsidRPr="00CF61DE">
        <w:t>В рамках реа</w:t>
      </w:r>
      <w:bookmarkStart w:id="0" w:name="_GoBack"/>
      <w:bookmarkEnd w:id="0"/>
      <w:r w:rsidRPr="00CF61DE">
        <w:t xml:space="preserve">лизации мероприятия «Повышение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распространение их результатов» </w:t>
      </w:r>
      <w:r w:rsidR="002236B3">
        <w:t>с</w:t>
      </w:r>
      <w:r w:rsidRPr="00CF61DE">
        <w:t xml:space="preserve"> сентябр</w:t>
      </w:r>
      <w:r w:rsidR="002236B3">
        <w:t>я</w:t>
      </w:r>
      <w:r w:rsidRPr="00CF61DE">
        <w:t xml:space="preserve"> </w:t>
      </w:r>
      <w:r w:rsidR="002236B3">
        <w:rPr>
          <w:rFonts w:ascii="Times New Roman" w:hAnsi="Times New Roman" w:cs="Times New Roman"/>
        </w:rPr>
        <w:t>по</w:t>
      </w:r>
      <w:r w:rsidRPr="00CF61DE">
        <w:t xml:space="preserve"> </w:t>
      </w:r>
      <w:r w:rsidRPr="00CF61DE">
        <w:rPr>
          <w:rFonts w:cs="PT Astra Serif"/>
        </w:rPr>
        <w:t>декабр</w:t>
      </w:r>
      <w:r w:rsidR="002236B3">
        <w:rPr>
          <w:rFonts w:cs="PT Astra Serif"/>
        </w:rPr>
        <w:t>ь</w:t>
      </w:r>
      <w:r w:rsidRPr="00CF61DE">
        <w:t xml:space="preserve"> 2020 </w:t>
      </w:r>
      <w:r w:rsidRPr="00CF61DE">
        <w:rPr>
          <w:rFonts w:cs="PT Astra Serif"/>
        </w:rPr>
        <w:t>года</w:t>
      </w:r>
      <w:r w:rsidRPr="00CF61DE">
        <w:t xml:space="preserve"> </w:t>
      </w:r>
      <w:r w:rsidR="002236B3">
        <w:t xml:space="preserve">ИРО </w:t>
      </w:r>
      <w:r>
        <w:t>был</w:t>
      </w:r>
      <w:r w:rsidR="002236B3">
        <w:t>а</w:t>
      </w:r>
      <w:r>
        <w:t xml:space="preserve"> </w:t>
      </w:r>
      <w:r w:rsidRPr="00CF61DE">
        <w:rPr>
          <w:rFonts w:cs="PT Astra Serif"/>
        </w:rPr>
        <w:t>проведена</w:t>
      </w:r>
      <w:r w:rsidRPr="00CF61DE">
        <w:t xml:space="preserve"> </w:t>
      </w:r>
      <w:r w:rsidRPr="00CF61DE">
        <w:rPr>
          <w:rFonts w:cs="PT Astra Serif"/>
        </w:rPr>
        <w:t>апробация</w:t>
      </w:r>
      <w:r w:rsidRPr="00CF61DE">
        <w:t xml:space="preserve"> </w:t>
      </w:r>
      <w:r w:rsidR="002236B3">
        <w:rPr>
          <w:rFonts w:cs="PT Astra Serif"/>
        </w:rPr>
        <w:t>диагностических</w:t>
      </w:r>
      <w:r w:rsidRPr="00CF61DE">
        <w:t xml:space="preserve"> </w:t>
      </w:r>
      <w:r w:rsidRPr="00CF61DE">
        <w:rPr>
          <w:rFonts w:cs="PT Astra Serif"/>
        </w:rPr>
        <w:t>инструментов</w:t>
      </w:r>
      <w:r w:rsidR="002236B3">
        <w:rPr>
          <w:rFonts w:cs="PT Astra Serif"/>
        </w:rPr>
        <w:t xml:space="preserve"> </w:t>
      </w:r>
      <w:r w:rsidR="002236B3" w:rsidRPr="00CF61DE">
        <w:rPr>
          <w:rFonts w:cs="PT Astra Serif"/>
        </w:rPr>
        <w:t>для</w:t>
      </w:r>
      <w:r w:rsidR="002236B3" w:rsidRPr="00CF61DE">
        <w:t xml:space="preserve"> </w:t>
      </w:r>
      <w:r w:rsidR="002236B3" w:rsidRPr="00CF61DE">
        <w:rPr>
          <w:rFonts w:cs="PT Astra Serif"/>
        </w:rPr>
        <w:t>изучения</w:t>
      </w:r>
      <w:r w:rsidR="002236B3" w:rsidRPr="00CF61DE">
        <w:t xml:space="preserve"> </w:t>
      </w:r>
      <w:r w:rsidR="002236B3" w:rsidRPr="00CF61DE">
        <w:rPr>
          <w:rFonts w:cs="PT Astra Serif"/>
        </w:rPr>
        <w:t>профессиональных</w:t>
      </w:r>
      <w:r w:rsidR="002236B3" w:rsidRPr="00CF61DE">
        <w:t xml:space="preserve"> </w:t>
      </w:r>
      <w:r w:rsidR="002236B3" w:rsidRPr="00CF61DE">
        <w:rPr>
          <w:rFonts w:cs="PT Astra Serif"/>
        </w:rPr>
        <w:t>дефицитов</w:t>
      </w:r>
      <w:r w:rsidR="002236B3" w:rsidRPr="00CF61DE">
        <w:t xml:space="preserve"> </w:t>
      </w:r>
      <w:r w:rsidR="002236B3" w:rsidRPr="00CF61DE">
        <w:rPr>
          <w:rFonts w:cs="PT Astra Serif"/>
        </w:rPr>
        <w:t>руководящих</w:t>
      </w:r>
      <w:r w:rsidR="002236B3" w:rsidRPr="00CF61DE">
        <w:t xml:space="preserve"> </w:t>
      </w:r>
      <w:r w:rsidR="002236B3" w:rsidRPr="00CF61DE">
        <w:rPr>
          <w:rFonts w:cs="PT Astra Serif"/>
        </w:rPr>
        <w:t>и</w:t>
      </w:r>
      <w:r w:rsidR="002236B3" w:rsidRPr="00CF61DE">
        <w:t xml:space="preserve"> </w:t>
      </w:r>
      <w:r w:rsidR="002236B3" w:rsidRPr="00CF61DE">
        <w:rPr>
          <w:rFonts w:cs="PT Astra Serif"/>
        </w:rPr>
        <w:t>педагогических</w:t>
      </w:r>
      <w:r w:rsidR="002236B3" w:rsidRPr="00CF61DE">
        <w:t xml:space="preserve"> </w:t>
      </w:r>
      <w:r w:rsidR="002236B3" w:rsidRPr="00CF61DE">
        <w:rPr>
          <w:rFonts w:cs="PT Astra Serif"/>
        </w:rPr>
        <w:t>работников</w:t>
      </w:r>
      <w:r w:rsidRPr="00CF61DE">
        <w:t>.</w:t>
      </w:r>
    </w:p>
    <w:p w:rsidR="00CF61DE" w:rsidRDefault="00CF61DE" w:rsidP="00CF61DE">
      <w:pPr>
        <w:spacing w:after="0"/>
        <w:ind w:firstLine="426"/>
        <w:jc w:val="both"/>
      </w:pPr>
      <w:r w:rsidRPr="00CF61DE">
        <w:t>В качестве объекта исследования были определены школы − пилотные площадки</w:t>
      </w:r>
      <w:r>
        <w:t xml:space="preserve"> </w:t>
      </w:r>
      <w:r w:rsidRPr="00CF61DE">
        <w:t>на основе конкурсного отбора.</w:t>
      </w:r>
      <w:r>
        <w:t xml:space="preserve"> </w:t>
      </w:r>
      <w:r w:rsidR="00B258BF">
        <w:t xml:space="preserve">Наше образовательное учреждение вошло в число </w:t>
      </w:r>
      <w:r w:rsidR="002236B3">
        <w:t>этих школ</w:t>
      </w:r>
      <w:r w:rsidR="00B258BF">
        <w:t>.</w:t>
      </w:r>
    </w:p>
    <w:p w:rsidR="00CF61DE" w:rsidRPr="00CF61DE" w:rsidRDefault="00CF61DE" w:rsidP="00CF61DE">
      <w:pPr>
        <w:spacing w:after="0"/>
        <w:ind w:firstLine="426"/>
        <w:jc w:val="both"/>
      </w:pPr>
      <w:r w:rsidRPr="00CF61DE">
        <w:t xml:space="preserve">В рамках исследования осуществлялись следующие виды работ: </w:t>
      </w:r>
    </w:p>
    <w:p w:rsidR="00CF61DE" w:rsidRDefault="00CF61DE" w:rsidP="00CF61DE">
      <w:pPr>
        <w:spacing w:after="0"/>
        <w:ind w:firstLine="426"/>
        <w:jc w:val="both"/>
      </w:pPr>
      <w:r w:rsidRPr="00CF61DE">
        <w:rPr>
          <w:rFonts w:ascii="Times New Roman" w:hAnsi="Times New Roman" w:cs="Times New Roman"/>
        </w:rPr>
        <w:t>˗</w:t>
      </w:r>
      <w:r w:rsidRPr="00CF61DE">
        <w:t xml:space="preserve"> проведение диагностических работ для учителей;</w:t>
      </w:r>
    </w:p>
    <w:p w:rsidR="00CF61DE" w:rsidRPr="00CF61DE" w:rsidRDefault="00CF61DE" w:rsidP="00CF61DE">
      <w:pPr>
        <w:spacing w:after="0"/>
        <w:ind w:firstLine="426"/>
        <w:jc w:val="both"/>
      </w:pPr>
      <w:r w:rsidRPr="00CF61DE">
        <w:rPr>
          <w:rFonts w:ascii="Times New Roman" w:hAnsi="Times New Roman" w:cs="Times New Roman"/>
        </w:rPr>
        <w:t>˗</w:t>
      </w:r>
      <w:r w:rsidRPr="00CF61DE">
        <w:t xml:space="preserve"> проведение диагностических работ для руководителей и всех заместителей руководителей образовательных организаций (кроме заместителя по АХЧ); </w:t>
      </w:r>
    </w:p>
    <w:p w:rsidR="00CF61DE" w:rsidRPr="00CF61DE" w:rsidRDefault="00CF61DE" w:rsidP="00CF61DE">
      <w:pPr>
        <w:spacing w:after="0"/>
        <w:ind w:firstLine="426"/>
        <w:jc w:val="both"/>
      </w:pPr>
      <w:r w:rsidRPr="00CF61DE">
        <w:rPr>
          <w:rFonts w:ascii="Times New Roman" w:hAnsi="Times New Roman" w:cs="Times New Roman"/>
        </w:rPr>
        <w:t>˗</w:t>
      </w:r>
      <w:r w:rsidRPr="00CF61DE">
        <w:t xml:space="preserve"> анкетирование учителей, выполнивших диагностическую работу; </w:t>
      </w:r>
    </w:p>
    <w:p w:rsidR="00CF61DE" w:rsidRPr="00CF61DE" w:rsidRDefault="00CF61DE" w:rsidP="00C45BF2">
      <w:pPr>
        <w:spacing w:after="0"/>
        <w:ind w:firstLine="426"/>
        <w:jc w:val="both"/>
      </w:pPr>
      <w:r w:rsidRPr="00CF61DE">
        <w:rPr>
          <w:rFonts w:ascii="Times New Roman" w:hAnsi="Times New Roman" w:cs="Times New Roman"/>
        </w:rPr>
        <w:t>˗</w:t>
      </w:r>
      <w:r w:rsidRPr="00CF61DE">
        <w:t xml:space="preserve"> анкетирование руководителей и заместителей руководителей, выполнивших диагностическую работу</w:t>
      </w:r>
      <w:r w:rsidR="00C45BF2">
        <w:t>.</w:t>
      </w:r>
    </w:p>
    <w:p w:rsidR="00CF61DE" w:rsidRDefault="002236B3" w:rsidP="00CF61DE">
      <w:pPr>
        <w:spacing w:after="0"/>
        <w:ind w:firstLine="426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Характеристика заданий, включенных </w:t>
      </w:r>
      <w:proofErr w:type="gramStart"/>
      <w:r>
        <w:rPr>
          <w:b/>
          <w:bCs/>
          <w:szCs w:val="28"/>
        </w:rPr>
        <w:t>в</w:t>
      </w:r>
      <w:proofErr w:type="gramEnd"/>
      <w:r>
        <w:rPr>
          <w:b/>
          <w:bCs/>
          <w:szCs w:val="28"/>
        </w:rPr>
        <w:t xml:space="preserve"> </w:t>
      </w:r>
      <w:proofErr w:type="gramStart"/>
      <w:r>
        <w:rPr>
          <w:b/>
          <w:bCs/>
          <w:szCs w:val="28"/>
        </w:rPr>
        <w:t>КИМ</w:t>
      </w:r>
      <w:proofErr w:type="gramEnd"/>
      <w:r>
        <w:rPr>
          <w:b/>
          <w:bCs/>
          <w:szCs w:val="28"/>
        </w:rPr>
        <w:t xml:space="preserve"> (в </w:t>
      </w:r>
      <w:proofErr w:type="spellStart"/>
      <w:r>
        <w:rPr>
          <w:b/>
          <w:bCs/>
          <w:szCs w:val="28"/>
        </w:rPr>
        <w:t>т.ч</w:t>
      </w:r>
      <w:proofErr w:type="spellEnd"/>
      <w:r>
        <w:rPr>
          <w:b/>
          <w:bCs/>
          <w:szCs w:val="28"/>
        </w:rPr>
        <w:t>. уровня сложности заданий)</w:t>
      </w:r>
    </w:p>
    <w:p w:rsidR="00255714" w:rsidRPr="00255714" w:rsidRDefault="00255714" w:rsidP="00255714">
      <w:pPr>
        <w:pStyle w:val="Default"/>
        <w:spacing w:line="276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255714">
        <w:rPr>
          <w:rFonts w:ascii="PT Astra Serif" w:hAnsi="PT Astra Serif"/>
          <w:sz w:val="28"/>
          <w:szCs w:val="28"/>
        </w:rPr>
        <w:t xml:space="preserve">Диагностическая работа включала в себя 15 заданий: 11 из них были направлены на выявление уровня предметной компетентности учителей начальных классов; 3 задания на уровень методической компетентности и 1 задание на выявление компетентности по оцениванию работ обучающихся. </w:t>
      </w:r>
    </w:p>
    <w:p w:rsidR="00255714" w:rsidRPr="00255714" w:rsidRDefault="00255714" w:rsidP="00255714">
      <w:pPr>
        <w:pStyle w:val="Default"/>
        <w:spacing w:line="276" w:lineRule="auto"/>
        <w:ind w:firstLine="567"/>
        <w:jc w:val="both"/>
        <w:rPr>
          <w:rFonts w:ascii="PT Astra Serif" w:hAnsi="PT Astra Serif"/>
          <w:i/>
          <w:sz w:val="28"/>
          <w:szCs w:val="28"/>
        </w:rPr>
      </w:pPr>
      <w:r w:rsidRPr="00255714">
        <w:rPr>
          <w:rFonts w:ascii="PT Astra Serif" w:hAnsi="PT Astra Serif"/>
          <w:i/>
          <w:sz w:val="28"/>
          <w:szCs w:val="28"/>
        </w:rPr>
        <w:t xml:space="preserve">Задания были распределены по следующим уровням сложности: </w:t>
      </w:r>
    </w:p>
    <w:p w:rsidR="00255714" w:rsidRPr="00255714" w:rsidRDefault="00255714" w:rsidP="00255714">
      <w:pPr>
        <w:pStyle w:val="Default"/>
        <w:spacing w:line="276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255714">
        <w:rPr>
          <w:rFonts w:ascii="PT Astra Serif" w:hAnsi="PT Astra Serif"/>
          <w:sz w:val="28"/>
          <w:szCs w:val="28"/>
        </w:rPr>
        <w:t xml:space="preserve">задания базового уровня сложности; </w:t>
      </w:r>
    </w:p>
    <w:p w:rsidR="00255714" w:rsidRDefault="00255714" w:rsidP="00255714">
      <w:pPr>
        <w:pStyle w:val="Default"/>
        <w:spacing w:line="276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255714">
        <w:rPr>
          <w:rFonts w:ascii="PT Astra Serif" w:hAnsi="PT Astra Serif"/>
          <w:sz w:val="28"/>
          <w:szCs w:val="28"/>
        </w:rPr>
        <w:t xml:space="preserve">задания повышенного уровня сложности; </w:t>
      </w:r>
    </w:p>
    <w:p w:rsidR="00255714" w:rsidRPr="00255714" w:rsidRDefault="00255714" w:rsidP="00255714">
      <w:pPr>
        <w:pStyle w:val="Default"/>
        <w:spacing w:line="276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255714">
        <w:rPr>
          <w:rFonts w:ascii="PT Astra Serif" w:hAnsi="PT Astra Serif"/>
          <w:sz w:val="28"/>
          <w:szCs w:val="28"/>
        </w:rPr>
        <w:t>зада</w:t>
      </w:r>
      <w:r>
        <w:rPr>
          <w:rFonts w:ascii="PT Astra Serif" w:hAnsi="PT Astra Serif"/>
          <w:sz w:val="28"/>
          <w:szCs w:val="28"/>
        </w:rPr>
        <w:t xml:space="preserve">ния высокого уровня сложности. </w:t>
      </w:r>
    </w:p>
    <w:p w:rsidR="00255714" w:rsidRPr="00255714" w:rsidRDefault="00255714" w:rsidP="00255714">
      <w:pPr>
        <w:pStyle w:val="Default"/>
        <w:spacing w:line="276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255714">
        <w:rPr>
          <w:rFonts w:ascii="PT Astra Serif" w:hAnsi="PT Astra Serif"/>
          <w:sz w:val="28"/>
          <w:szCs w:val="28"/>
        </w:rPr>
        <w:t xml:space="preserve">Каждый вариант контрольных измерительных материалов содержал задания, нацеленные на проверку методических компетенций педагогов. </w:t>
      </w:r>
    </w:p>
    <w:p w:rsidR="00255714" w:rsidRPr="00255714" w:rsidRDefault="00255714" w:rsidP="00255714">
      <w:pPr>
        <w:pStyle w:val="Default"/>
        <w:spacing w:line="276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255714">
        <w:rPr>
          <w:rFonts w:ascii="PT Astra Serif" w:hAnsi="PT Astra Serif"/>
          <w:sz w:val="28"/>
          <w:szCs w:val="28"/>
        </w:rPr>
        <w:t xml:space="preserve">Первое методическое задание было ориентировано на оценку знания учителем основ методики преподавания основных предметов начального образования (математики, русского языка и литературы, окружающего мира) как учебного предмета и методов и приемов организации образовательного процесса в начальной школе. </w:t>
      </w:r>
    </w:p>
    <w:p w:rsidR="00255714" w:rsidRDefault="00255714" w:rsidP="00255714">
      <w:pPr>
        <w:spacing w:after="0"/>
        <w:ind w:firstLine="567"/>
        <w:jc w:val="both"/>
        <w:rPr>
          <w:szCs w:val="28"/>
        </w:rPr>
      </w:pPr>
      <w:r w:rsidRPr="00255714">
        <w:rPr>
          <w:szCs w:val="28"/>
        </w:rPr>
        <w:t xml:space="preserve">Второе методическое задание позволило оценить умения построения образовательного процесса в начальной школе с учетом требований ФГОС НОО. </w:t>
      </w:r>
    </w:p>
    <w:p w:rsidR="002236B3" w:rsidRDefault="00255714" w:rsidP="00255714">
      <w:pPr>
        <w:spacing w:after="0"/>
        <w:ind w:firstLine="567"/>
        <w:jc w:val="both"/>
        <w:rPr>
          <w:szCs w:val="28"/>
        </w:rPr>
      </w:pPr>
      <w:r w:rsidRPr="00255714">
        <w:rPr>
          <w:szCs w:val="28"/>
        </w:rPr>
        <w:t xml:space="preserve">Третье методическое задание ориентировано на оценку знания учителем основных требований ФГОС НОО к оцениванию личностных, </w:t>
      </w:r>
      <w:proofErr w:type="spellStart"/>
      <w:r w:rsidRPr="00255714">
        <w:rPr>
          <w:szCs w:val="28"/>
        </w:rPr>
        <w:t>метапредметных</w:t>
      </w:r>
      <w:proofErr w:type="spellEnd"/>
      <w:r w:rsidRPr="00255714">
        <w:rPr>
          <w:szCs w:val="28"/>
        </w:rPr>
        <w:t xml:space="preserve"> и предметных результатов обучающихся.</w:t>
      </w:r>
    </w:p>
    <w:p w:rsidR="00BF1E8A" w:rsidRPr="00BF1E8A" w:rsidRDefault="00BF1E8A" w:rsidP="00255714">
      <w:pPr>
        <w:spacing w:after="0"/>
        <w:ind w:firstLine="567"/>
        <w:jc w:val="both"/>
        <w:rPr>
          <w:sz w:val="18"/>
          <w:szCs w:val="28"/>
        </w:rPr>
      </w:pPr>
    </w:p>
    <w:p w:rsidR="001D51CB" w:rsidRDefault="000F008F" w:rsidP="00255714">
      <w:pPr>
        <w:spacing w:after="0"/>
        <w:ind w:firstLine="567"/>
        <w:jc w:val="both"/>
        <w:rPr>
          <w:b/>
          <w:bCs/>
          <w:szCs w:val="28"/>
        </w:rPr>
      </w:pPr>
      <w:r>
        <w:rPr>
          <w:szCs w:val="28"/>
        </w:rPr>
        <w:t>П</w:t>
      </w:r>
      <w:r w:rsidR="001D51CB">
        <w:rPr>
          <w:szCs w:val="28"/>
        </w:rPr>
        <w:t>римеры заданий</w:t>
      </w:r>
      <w:r>
        <w:rPr>
          <w:szCs w:val="28"/>
        </w:rPr>
        <w:t xml:space="preserve"> на выявление </w:t>
      </w:r>
      <w:r w:rsidRPr="000F008F">
        <w:rPr>
          <w:b/>
          <w:szCs w:val="28"/>
        </w:rPr>
        <w:t>у</w:t>
      </w:r>
      <w:r>
        <w:rPr>
          <w:b/>
          <w:bCs/>
          <w:szCs w:val="28"/>
        </w:rPr>
        <w:t>ров</w:t>
      </w:r>
      <w:r w:rsidR="001D51CB" w:rsidRPr="001D51CB">
        <w:rPr>
          <w:b/>
          <w:bCs/>
          <w:szCs w:val="28"/>
        </w:rPr>
        <w:t>н</w:t>
      </w:r>
      <w:r>
        <w:rPr>
          <w:b/>
          <w:bCs/>
          <w:szCs w:val="28"/>
        </w:rPr>
        <w:t>я</w:t>
      </w:r>
      <w:r w:rsidR="001D51CB" w:rsidRPr="001D51CB">
        <w:rPr>
          <w:b/>
          <w:bCs/>
          <w:szCs w:val="28"/>
        </w:rPr>
        <w:t xml:space="preserve"> предметной компетентности</w:t>
      </w:r>
      <w:r w:rsidR="001D51CB">
        <w:rPr>
          <w:b/>
          <w:bCs/>
          <w:szCs w:val="28"/>
        </w:rPr>
        <w:t>.</w:t>
      </w:r>
    </w:p>
    <w:p w:rsidR="000F008F" w:rsidRPr="000F008F" w:rsidRDefault="000F008F" w:rsidP="000F008F">
      <w:pPr>
        <w:spacing w:after="0" w:line="240" w:lineRule="auto"/>
        <w:ind w:firstLine="567"/>
        <w:jc w:val="both"/>
        <w:rPr>
          <w:u w:val="single"/>
        </w:rPr>
      </w:pPr>
      <w:r>
        <w:rPr>
          <w:u w:val="single"/>
        </w:rPr>
        <w:t>Русский язык</w:t>
      </w:r>
      <w:r w:rsidRPr="000F008F">
        <w:rPr>
          <w:u w:val="single"/>
        </w:rPr>
        <w:t xml:space="preserve"> </w:t>
      </w:r>
    </w:p>
    <w:p w:rsidR="000F008F" w:rsidRPr="00BF1E8A" w:rsidRDefault="000F008F" w:rsidP="000F008F">
      <w:pPr>
        <w:spacing w:after="0" w:line="240" w:lineRule="auto"/>
        <w:ind w:firstLine="567"/>
        <w:jc w:val="both"/>
      </w:pPr>
      <w:r w:rsidRPr="00BF1E8A">
        <w:rPr>
          <w:bCs/>
        </w:rPr>
        <w:t>Выделите, что выражает окончание у имён существительных:</w:t>
      </w:r>
    </w:p>
    <w:p w:rsidR="00EE273C" w:rsidRPr="000F008F" w:rsidRDefault="00143935" w:rsidP="000F008F">
      <w:pPr>
        <w:numPr>
          <w:ilvl w:val="0"/>
          <w:numId w:val="1"/>
        </w:numPr>
        <w:spacing w:after="0"/>
        <w:jc w:val="both"/>
      </w:pPr>
      <w:r w:rsidRPr="000F008F">
        <w:lastRenderedPageBreak/>
        <w:t>лицо, число</w:t>
      </w:r>
    </w:p>
    <w:p w:rsidR="00EE273C" w:rsidRPr="000F008F" w:rsidRDefault="00143935" w:rsidP="000F008F">
      <w:pPr>
        <w:numPr>
          <w:ilvl w:val="0"/>
          <w:numId w:val="1"/>
        </w:numPr>
        <w:spacing w:after="0"/>
        <w:jc w:val="both"/>
      </w:pPr>
      <w:r w:rsidRPr="000F008F">
        <w:t>род, число, падеж</w:t>
      </w:r>
    </w:p>
    <w:p w:rsidR="00EE273C" w:rsidRPr="000F008F" w:rsidRDefault="00143935" w:rsidP="000F008F">
      <w:pPr>
        <w:numPr>
          <w:ilvl w:val="0"/>
          <w:numId w:val="1"/>
        </w:numPr>
        <w:spacing w:after="0"/>
        <w:jc w:val="both"/>
      </w:pPr>
      <w:r w:rsidRPr="000F008F">
        <w:t>падеж, род</w:t>
      </w:r>
    </w:p>
    <w:p w:rsidR="001D51CB" w:rsidRDefault="000F008F" w:rsidP="00255714">
      <w:pPr>
        <w:spacing w:after="0"/>
        <w:ind w:firstLine="567"/>
        <w:jc w:val="both"/>
        <w:rPr>
          <w:u w:val="single"/>
        </w:rPr>
      </w:pPr>
      <w:r>
        <w:rPr>
          <w:u w:val="single"/>
        </w:rPr>
        <w:t>Окружающий мир</w:t>
      </w:r>
    </w:p>
    <w:p w:rsidR="000F008F" w:rsidRPr="00BF1E8A" w:rsidRDefault="000F008F" w:rsidP="000F008F">
      <w:pPr>
        <w:spacing w:after="0"/>
        <w:ind w:firstLine="567"/>
        <w:jc w:val="both"/>
      </w:pPr>
      <w:r w:rsidRPr="00BF1E8A">
        <w:rPr>
          <w:bCs/>
        </w:rPr>
        <w:t>Распределите природные зоны по порядку:</w:t>
      </w:r>
    </w:p>
    <w:p w:rsidR="000F008F" w:rsidRPr="000F008F" w:rsidRDefault="000F008F" w:rsidP="000F008F">
      <w:pPr>
        <w:spacing w:after="0"/>
        <w:ind w:firstLine="567"/>
        <w:jc w:val="both"/>
      </w:pPr>
      <w:proofErr w:type="gramStart"/>
      <w:r w:rsidRPr="000F008F">
        <w:t>тайга, пустыня, тундра, арктическая пустыня, смешанные леса, полупустыня, степи, лесотундра, субтропики, широколиственные леса, лесостепи, области высотной поясности.</w:t>
      </w:r>
      <w:proofErr w:type="gramEnd"/>
    </w:p>
    <w:p w:rsidR="000F008F" w:rsidRDefault="000F008F" w:rsidP="00255714">
      <w:pPr>
        <w:spacing w:after="0"/>
        <w:ind w:firstLine="567"/>
        <w:jc w:val="both"/>
        <w:rPr>
          <w:u w:val="single"/>
        </w:rPr>
      </w:pPr>
      <w:r>
        <w:rPr>
          <w:u w:val="single"/>
        </w:rPr>
        <w:t>Математика</w:t>
      </w:r>
    </w:p>
    <w:p w:rsidR="000F008F" w:rsidRPr="000F008F" w:rsidRDefault="000F008F" w:rsidP="000F008F">
      <w:pPr>
        <w:spacing w:after="0"/>
        <w:ind w:firstLine="567"/>
        <w:jc w:val="both"/>
      </w:pPr>
      <w:r w:rsidRPr="00BF1E8A">
        <w:rPr>
          <w:bCs/>
        </w:rPr>
        <w:t>Определите тип арифметической задачи по классификации М.А. Бантовой:</w:t>
      </w:r>
      <w:r w:rsidRPr="000F008F">
        <w:rPr>
          <w:b/>
          <w:bCs/>
        </w:rPr>
        <w:t xml:space="preserve"> </w:t>
      </w:r>
      <w:r w:rsidRPr="000F008F">
        <w:t>«Отец раздал 12 конфет поровну 3 сыновьям. Сколько конфет получил каждый сын?»</w:t>
      </w:r>
    </w:p>
    <w:p w:rsidR="00EE273C" w:rsidRPr="000F008F" w:rsidRDefault="00143935" w:rsidP="000F008F">
      <w:pPr>
        <w:numPr>
          <w:ilvl w:val="0"/>
          <w:numId w:val="2"/>
        </w:numPr>
        <w:spacing w:after="0"/>
        <w:jc w:val="both"/>
      </w:pPr>
      <w:r w:rsidRPr="000F008F">
        <w:t>Задача на разностное сравнение</w:t>
      </w:r>
    </w:p>
    <w:p w:rsidR="00EE273C" w:rsidRPr="000F008F" w:rsidRDefault="00143935" w:rsidP="000F008F">
      <w:pPr>
        <w:numPr>
          <w:ilvl w:val="0"/>
          <w:numId w:val="2"/>
        </w:numPr>
        <w:spacing w:after="0"/>
        <w:jc w:val="both"/>
      </w:pPr>
      <w:r w:rsidRPr="000F008F">
        <w:t>Задача на уменьшение числа в несколько раз</w:t>
      </w:r>
    </w:p>
    <w:p w:rsidR="00EE273C" w:rsidRPr="000F008F" w:rsidRDefault="00143935" w:rsidP="000F008F">
      <w:pPr>
        <w:numPr>
          <w:ilvl w:val="0"/>
          <w:numId w:val="2"/>
        </w:numPr>
        <w:spacing w:after="0"/>
        <w:jc w:val="both"/>
      </w:pPr>
      <w:r w:rsidRPr="000F008F">
        <w:t>Задача на деление на равные части</w:t>
      </w:r>
    </w:p>
    <w:p w:rsidR="00EE273C" w:rsidRPr="000F008F" w:rsidRDefault="00143935" w:rsidP="000F008F">
      <w:pPr>
        <w:numPr>
          <w:ilvl w:val="0"/>
          <w:numId w:val="2"/>
        </w:numPr>
        <w:spacing w:after="0"/>
        <w:jc w:val="both"/>
      </w:pPr>
      <w:r w:rsidRPr="000F008F">
        <w:t>Задача на деление по содержанию</w:t>
      </w:r>
    </w:p>
    <w:p w:rsidR="0002510F" w:rsidRPr="0002510F" w:rsidRDefault="0002510F" w:rsidP="0002510F">
      <w:pPr>
        <w:spacing w:after="0"/>
        <w:ind w:firstLine="567"/>
        <w:jc w:val="both"/>
        <w:rPr>
          <w:sz w:val="18"/>
          <w:szCs w:val="28"/>
        </w:rPr>
      </w:pPr>
    </w:p>
    <w:p w:rsidR="0002510F" w:rsidRDefault="0002510F" w:rsidP="0002510F">
      <w:pPr>
        <w:spacing w:after="0"/>
        <w:ind w:firstLine="567"/>
        <w:jc w:val="both"/>
        <w:rPr>
          <w:b/>
          <w:bCs/>
          <w:szCs w:val="28"/>
        </w:rPr>
      </w:pPr>
      <w:r>
        <w:rPr>
          <w:szCs w:val="28"/>
        </w:rPr>
        <w:t xml:space="preserve">Пример задания на выявление </w:t>
      </w:r>
      <w:r w:rsidRPr="000F008F">
        <w:rPr>
          <w:b/>
          <w:szCs w:val="28"/>
        </w:rPr>
        <w:t>у</w:t>
      </w:r>
      <w:r>
        <w:rPr>
          <w:b/>
          <w:bCs/>
          <w:szCs w:val="28"/>
        </w:rPr>
        <w:t>ров</w:t>
      </w:r>
      <w:r w:rsidRPr="001D51CB">
        <w:rPr>
          <w:b/>
          <w:bCs/>
          <w:szCs w:val="28"/>
        </w:rPr>
        <w:t>н</w:t>
      </w:r>
      <w:r>
        <w:rPr>
          <w:b/>
          <w:bCs/>
          <w:szCs w:val="28"/>
        </w:rPr>
        <w:t>я</w:t>
      </w:r>
      <w:r w:rsidRPr="001D51C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методической</w:t>
      </w:r>
      <w:r w:rsidRPr="001D51CB">
        <w:rPr>
          <w:b/>
          <w:bCs/>
          <w:szCs w:val="28"/>
        </w:rPr>
        <w:t xml:space="preserve"> компетентности</w:t>
      </w:r>
      <w:r>
        <w:rPr>
          <w:b/>
          <w:bCs/>
          <w:szCs w:val="28"/>
        </w:rPr>
        <w:t>.</w:t>
      </w:r>
    </w:p>
    <w:p w:rsidR="0002510F" w:rsidRPr="00BF1E8A" w:rsidRDefault="0002510F" w:rsidP="0002510F">
      <w:pPr>
        <w:spacing w:after="0"/>
        <w:ind w:firstLine="567"/>
        <w:jc w:val="both"/>
        <w:rPr>
          <w:bCs/>
          <w:szCs w:val="28"/>
        </w:rPr>
      </w:pPr>
      <w:r w:rsidRPr="00BF1E8A">
        <w:rPr>
          <w:bCs/>
          <w:szCs w:val="28"/>
        </w:rPr>
        <w:t xml:space="preserve">Определите задачу урока «Царство грибов», направленную на достижение </w:t>
      </w:r>
      <w:proofErr w:type="spellStart"/>
      <w:r w:rsidRPr="00BF1E8A">
        <w:rPr>
          <w:bCs/>
          <w:szCs w:val="28"/>
        </w:rPr>
        <w:t>метапредметных</w:t>
      </w:r>
      <w:proofErr w:type="spellEnd"/>
      <w:r w:rsidRPr="00BF1E8A">
        <w:rPr>
          <w:bCs/>
          <w:szCs w:val="28"/>
        </w:rPr>
        <w:t xml:space="preserve"> результатов:</w:t>
      </w:r>
    </w:p>
    <w:p w:rsidR="00EE273C" w:rsidRPr="0002510F" w:rsidRDefault="00143935" w:rsidP="0002510F">
      <w:pPr>
        <w:numPr>
          <w:ilvl w:val="0"/>
          <w:numId w:val="3"/>
        </w:numPr>
        <w:spacing w:after="0"/>
        <w:jc w:val="both"/>
        <w:rPr>
          <w:bCs/>
          <w:szCs w:val="28"/>
        </w:rPr>
      </w:pPr>
      <w:r w:rsidRPr="0002510F">
        <w:rPr>
          <w:bCs/>
          <w:szCs w:val="28"/>
        </w:rPr>
        <w:t>Познакомить с особенностями съедобных и несъедобных грибов.</w:t>
      </w:r>
    </w:p>
    <w:p w:rsidR="00EE273C" w:rsidRPr="0002510F" w:rsidRDefault="00143935" w:rsidP="0002510F">
      <w:pPr>
        <w:numPr>
          <w:ilvl w:val="0"/>
          <w:numId w:val="3"/>
        </w:numPr>
        <w:spacing w:after="0"/>
        <w:jc w:val="both"/>
        <w:rPr>
          <w:bCs/>
          <w:szCs w:val="28"/>
        </w:rPr>
      </w:pPr>
      <w:r w:rsidRPr="0002510F">
        <w:rPr>
          <w:bCs/>
          <w:szCs w:val="28"/>
        </w:rPr>
        <w:t>Познакомить со строением шляпочного гриба с представителями пластинчатых и трубчатых грибов.</w:t>
      </w:r>
    </w:p>
    <w:p w:rsidR="00EE273C" w:rsidRPr="0002510F" w:rsidRDefault="00143935" w:rsidP="0002510F">
      <w:pPr>
        <w:numPr>
          <w:ilvl w:val="0"/>
          <w:numId w:val="3"/>
        </w:numPr>
        <w:spacing w:after="0"/>
        <w:jc w:val="both"/>
        <w:rPr>
          <w:bCs/>
          <w:szCs w:val="28"/>
        </w:rPr>
      </w:pPr>
      <w:r w:rsidRPr="0002510F">
        <w:rPr>
          <w:bCs/>
          <w:szCs w:val="28"/>
        </w:rPr>
        <w:t>Формировать умение вступать в диалог в процессе составления правила сбора грибов.</w:t>
      </w:r>
    </w:p>
    <w:p w:rsidR="0002510F" w:rsidRPr="00BF1E8A" w:rsidRDefault="0002510F" w:rsidP="0002510F">
      <w:pPr>
        <w:spacing w:after="0"/>
        <w:ind w:firstLine="567"/>
        <w:jc w:val="both"/>
        <w:rPr>
          <w:b/>
          <w:bCs/>
          <w:sz w:val="18"/>
          <w:szCs w:val="28"/>
        </w:rPr>
      </w:pPr>
    </w:p>
    <w:p w:rsidR="0002510F" w:rsidRDefault="0002510F" w:rsidP="0002510F">
      <w:pPr>
        <w:spacing w:after="0"/>
        <w:ind w:firstLine="567"/>
        <w:jc w:val="both"/>
        <w:rPr>
          <w:b/>
          <w:bCs/>
          <w:szCs w:val="28"/>
        </w:rPr>
      </w:pPr>
      <w:r>
        <w:rPr>
          <w:szCs w:val="28"/>
        </w:rPr>
        <w:t xml:space="preserve">Пример задания на выявление </w:t>
      </w:r>
      <w:r w:rsidRPr="000F008F">
        <w:rPr>
          <w:b/>
          <w:szCs w:val="28"/>
        </w:rPr>
        <w:t>у</w:t>
      </w:r>
      <w:r>
        <w:rPr>
          <w:b/>
          <w:bCs/>
          <w:szCs w:val="28"/>
        </w:rPr>
        <w:t>ров</w:t>
      </w:r>
      <w:r w:rsidRPr="001D51CB">
        <w:rPr>
          <w:b/>
          <w:bCs/>
          <w:szCs w:val="28"/>
        </w:rPr>
        <w:t>н</w:t>
      </w:r>
      <w:r>
        <w:rPr>
          <w:b/>
          <w:bCs/>
          <w:szCs w:val="28"/>
        </w:rPr>
        <w:t>я</w:t>
      </w:r>
      <w:r w:rsidRPr="001D51CB">
        <w:rPr>
          <w:b/>
          <w:bCs/>
          <w:szCs w:val="28"/>
        </w:rPr>
        <w:t xml:space="preserve"> </w:t>
      </w:r>
      <w:r w:rsidRPr="0002510F">
        <w:rPr>
          <w:b/>
          <w:bCs/>
          <w:szCs w:val="28"/>
        </w:rPr>
        <w:t>компетенции по оцениванию работ обучающихся</w:t>
      </w:r>
      <w:r>
        <w:rPr>
          <w:b/>
          <w:bCs/>
          <w:szCs w:val="28"/>
        </w:rPr>
        <w:t>.</w:t>
      </w:r>
    </w:p>
    <w:p w:rsidR="00BF1E8A" w:rsidRPr="00BF1E8A" w:rsidRDefault="00BF1E8A" w:rsidP="00BF1E8A">
      <w:pPr>
        <w:spacing w:after="0"/>
        <w:ind w:firstLine="567"/>
        <w:jc w:val="both"/>
      </w:pPr>
      <w:r w:rsidRPr="00BF1E8A">
        <w:t>Вопрос с развёрнутым ответом</w:t>
      </w:r>
    </w:p>
    <w:p w:rsidR="00BF1E8A" w:rsidRPr="00BF1E8A" w:rsidRDefault="00BF1E8A" w:rsidP="00BF1E8A">
      <w:pPr>
        <w:spacing w:after="0"/>
        <w:ind w:firstLine="567"/>
        <w:jc w:val="both"/>
      </w:pPr>
      <w:r w:rsidRPr="00BF1E8A">
        <w:rPr>
          <w:b/>
          <w:bCs/>
        </w:rPr>
        <w:t xml:space="preserve">    </w:t>
      </w:r>
      <w:r w:rsidRPr="00BF1E8A">
        <w:rPr>
          <w:bCs/>
        </w:rPr>
        <w:t xml:space="preserve">Приведите примеры форм оценивания </w:t>
      </w:r>
      <w:proofErr w:type="spellStart"/>
      <w:r w:rsidRPr="00BF1E8A">
        <w:rPr>
          <w:bCs/>
        </w:rPr>
        <w:t>метапредметных</w:t>
      </w:r>
      <w:proofErr w:type="spellEnd"/>
      <w:r w:rsidRPr="00BF1E8A">
        <w:rPr>
          <w:bCs/>
        </w:rPr>
        <w:t xml:space="preserve"> результатов по предметам математике, русскому языку, окружающему миру </w:t>
      </w:r>
    </w:p>
    <w:p w:rsidR="000F008F" w:rsidRPr="00BF1E8A" w:rsidRDefault="000F008F" w:rsidP="00255714">
      <w:pPr>
        <w:spacing w:after="0"/>
        <w:ind w:firstLine="567"/>
        <w:jc w:val="both"/>
        <w:rPr>
          <w:sz w:val="18"/>
        </w:rPr>
      </w:pPr>
    </w:p>
    <w:p w:rsidR="00BF1E8A" w:rsidRDefault="00BF1E8A" w:rsidP="00BF1E8A">
      <w:pPr>
        <w:spacing w:after="0"/>
        <w:ind w:firstLine="567"/>
        <w:jc w:val="center"/>
        <w:rPr>
          <w:b/>
          <w:bCs/>
        </w:rPr>
      </w:pPr>
      <w:r w:rsidRPr="00BF1E8A">
        <w:rPr>
          <w:b/>
          <w:bCs/>
        </w:rPr>
        <w:t>Результаты оценки заданий, направленные на выявление уровня предметной компетентности</w:t>
      </w:r>
    </w:p>
    <w:p w:rsidR="00BF1E8A" w:rsidRPr="00BF1E8A" w:rsidRDefault="00BF1E8A" w:rsidP="00BF1E8A">
      <w:pPr>
        <w:spacing w:after="0"/>
        <w:ind w:firstLine="567"/>
        <w:jc w:val="both"/>
      </w:pPr>
      <w:r>
        <w:t>А</w:t>
      </w:r>
      <w:r w:rsidRPr="00BF1E8A">
        <w:t xml:space="preserve">нализ результатов выполнения диагностической работы выявил наиболее низкие результаты по следующим предметным дефицитам: </w:t>
      </w:r>
    </w:p>
    <w:p w:rsidR="00BF1E8A" w:rsidRPr="00BF1E8A" w:rsidRDefault="00BF1E8A" w:rsidP="00BF1E8A">
      <w:pPr>
        <w:spacing w:after="0"/>
        <w:ind w:firstLine="567"/>
        <w:jc w:val="both"/>
      </w:pPr>
      <w:r w:rsidRPr="00BF1E8A">
        <w:t xml:space="preserve">55% учителей начальной школы показали низкий уровень знания дидактических основ, используемых на уроках окружающий мир; </w:t>
      </w:r>
    </w:p>
    <w:p w:rsidR="00BF1E8A" w:rsidRPr="00BF1E8A" w:rsidRDefault="00BF1E8A" w:rsidP="00BF1E8A">
      <w:pPr>
        <w:spacing w:after="0"/>
        <w:ind w:firstLine="567"/>
        <w:jc w:val="both"/>
      </w:pPr>
      <w:r w:rsidRPr="00BF1E8A">
        <w:t xml:space="preserve">49% педагогов продемонстрировали низкий уровень умений, связанный с умением формулировать цель урока по окружающему миру, направленную на достижение </w:t>
      </w:r>
      <w:proofErr w:type="spellStart"/>
      <w:r w:rsidRPr="00BF1E8A">
        <w:t>метапредметных</w:t>
      </w:r>
      <w:proofErr w:type="spellEnd"/>
      <w:r w:rsidRPr="00BF1E8A">
        <w:t xml:space="preserve"> результатов; </w:t>
      </w:r>
    </w:p>
    <w:p w:rsidR="00BF1E8A" w:rsidRPr="00BF1E8A" w:rsidRDefault="00BF1E8A" w:rsidP="00BF1E8A">
      <w:pPr>
        <w:spacing w:after="0"/>
        <w:ind w:firstLine="567"/>
        <w:jc w:val="both"/>
      </w:pPr>
      <w:r w:rsidRPr="00BF1E8A">
        <w:t xml:space="preserve">35% показали низкий уровень знания дидактических основ, используемых на уроках русского языка; </w:t>
      </w:r>
    </w:p>
    <w:p w:rsidR="00BF1E8A" w:rsidRPr="00BF1E8A" w:rsidRDefault="00BF1E8A" w:rsidP="00BF1E8A">
      <w:pPr>
        <w:spacing w:after="0"/>
        <w:ind w:firstLine="567"/>
        <w:jc w:val="both"/>
      </w:pPr>
      <w:r w:rsidRPr="00BF1E8A">
        <w:t xml:space="preserve">у 34% педагогов выявлен низкий уровень знания математического моделирования практической ситуации при работе с числовым выражением. </w:t>
      </w:r>
    </w:p>
    <w:p w:rsidR="00BF1E8A" w:rsidRDefault="003F58FC" w:rsidP="003F58FC">
      <w:pPr>
        <w:spacing w:after="0"/>
        <w:ind w:firstLine="567"/>
        <w:jc w:val="center"/>
        <w:rPr>
          <w:b/>
          <w:bCs/>
        </w:rPr>
      </w:pPr>
      <w:r w:rsidRPr="003F58FC">
        <w:rPr>
          <w:b/>
          <w:bCs/>
        </w:rPr>
        <w:lastRenderedPageBreak/>
        <w:t>Результаты оценки заданий, направленных на выявление уровня методической компетенции</w:t>
      </w:r>
    </w:p>
    <w:p w:rsidR="003F58FC" w:rsidRPr="003F58FC" w:rsidRDefault="003F58FC" w:rsidP="003F58FC">
      <w:pPr>
        <w:spacing w:after="0"/>
        <w:ind w:firstLine="567"/>
        <w:jc w:val="both"/>
      </w:pPr>
      <w:r>
        <w:t>П</w:t>
      </w:r>
      <w:r w:rsidRPr="003F58FC">
        <w:t xml:space="preserve">ри анализе результатов выполнения диагностической работы выявлены следующие дефициты: </w:t>
      </w:r>
    </w:p>
    <w:p w:rsidR="003F58FC" w:rsidRPr="003F58FC" w:rsidRDefault="003F58FC" w:rsidP="003F58FC">
      <w:pPr>
        <w:spacing w:after="0"/>
        <w:ind w:firstLine="567"/>
        <w:jc w:val="both"/>
      </w:pPr>
      <w:r w:rsidRPr="003F58FC">
        <w:t>46 % педагогов – показали низкий результат умений в применении разнообразных педагогически обоснованны</w:t>
      </w:r>
      <w:r>
        <w:t>х</w:t>
      </w:r>
      <w:r w:rsidRPr="003F58FC">
        <w:t xml:space="preserve"> средств, технологий и методик обучения, направленных на достижение поставленных целей (не соотносят функции оценки и ее содержание; затрудняются выстроить алгоритм конструирования урока по его основным этапам; не соотносят методы обучения и деятельность педагога). </w:t>
      </w:r>
    </w:p>
    <w:p w:rsidR="003F58FC" w:rsidRDefault="003F58FC" w:rsidP="003F58FC">
      <w:pPr>
        <w:spacing w:after="0"/>
        <w:ind w:firstLine="567"/>
        <w:jc w:val="both"/>
      </w:pPr>
      <w:r w:rsidRPr="003F58FC">
        <w:t xml:space="preserve">у 57 % учителей был выявлен низкий уровень умений, направленных на раскрытие на примерах изученных этапов работы с текстом; стратегии смыслового чтения в соответствии с этапом деятельности. </w:t>
      </w:r>
    </w:p>
    <w:p w:rsidR="003421B7" w:rsidRPr="003421B7" w:rsidRDefault="003421B7" w:rsidP="003F58FC">
      <w:pPr>
        <w:spacing w:after="0"/>
        <w:ind w:firstLine="567"/>
        <w:jc w:val="both"/>
        <w:rPr>
          <w:sz w:val="18"/>
        </w:rPr>
      </w:pPr>
    </w:p>
    <w:p w:rsidR="003F58FC" w:rsidRPr="003421B7" w:rsidRDefault="003F58FC" w:rsidP="003421B7">
      <w:pPr>
        <w:spacing w:after="0"/>
        <w:ind w:firstLine="567"/>
        <w:jc w:val="center"/>
        <w:rPr>
          <w:b/>
          <w:bCs/>
        </w:rPr>
      </w:pPr>
      <w:r w:rsidRPr="003F58FC">
        <w:rPr>
          <w:b/>
          <w:bCs/>
        </w:rPr>
        <w:t>Результаты оценки заданий, направленных на выявление уровня компетентности по оцениванию работ обучающихся</w:t>
      </w:r>
    </w:p>
    <w:p w:rsidR="003F58FC" w:rsidRPr="003F58FC" w:rsidRDefault="003F58FC" w:rsidP="003F58FC">
      <w:pPr>
        <w:spacing w:after="0"/>
        <w:ind w:firstLine="567"/>
        <w:jc w:val="both"/>
      </w:pPr>
      <w:r w:rsidRPr="003F58FC">
        <w:t>71% педагогов продемонстрировали высокий уровень знания пути достижения образовательных результатов и способов оценки результатов обучения, в том числе умения осуществлять объективную (</w:t>
      </w:r>
      <w:proofErr w:type="spellStart"/>
      <w:r w:rsidRPr="003F58FC">
        <w:t>критериальноориентированную</w:t>
      </w:r>
      <w:proofErr w:type="spellEnd"/>
      <w:r w:rsidRPr="003F58FC">
        <w:t xml:space="preserve">) оценку образовательных результатов обучающихся с учетом требований нормативно-методических документов и способы оценки результатов обучения, </w:t>
      </w:r>
    </w:p>
    <w:p w:rsidR="003F58FC" w:rsidRDefault="003F58FC" w:rsidP="003F58FC">
      <w:pPr>
        <w:spacing w:after="0"/>
        <w:ind w:firstLine="567"/>
        <w:jc w:val="both"/>
      </w:pPr>
      <w:r w:rsidRPr="003F58FC">
        <w:t>29% - показали низкий у</w:t>
      </w:r>
      <w:r w:rsidR="00CB1259">
        <w:t>ровень знаний по этому вопросу.</w:t>
      </w:r>
    </w:p>
    <w:p w:rsidR="003421B7" w:rsidRPr="003F58FC" w:rsidRDefault="003421B7" w:rsidP="003F58FC">
      <w:pPr>
        <w:spacing w:after="0"/>
        <w:ind w:firstLine="567"/>
        <w:jc w:val="both"/>
      </w:pPr>
    </w:p>
    <w:p w:rsidR="003F58FC" w:rsidRDefault="00CB1259" w:rsidP="003F58FC">
      <w:pPr>
        <w:spacing w:after="0"/>
        <w:ind w:firstLine="567"/>
        <w:jc w:val="both"/>
      </w:pPr>
      <w:r>
        <w:t>Результаты по нашему образовательному учреждению.</w:t>
      </w:r>
    </w:p>
    <w:tbl>
      <w:tblPr>
        <w:tblStyle w:val="a4"/>
        <w:tblW w:w="11057" w:type="dxa"/>
        <w:tblInd w:w="108" w:type="dxa"/>
        <w:tblLook w:val="0420" w:firstRow="1" w:lastRow="0" w:firstColumn="0" w:lastColumn="0" w:noHBand="0" w:noVBand="1"/>
      </w:tblPr>
      <w:tblGrid>
        <w:gridCol w:w="1634"/>
        <w:gridCol w:w="2399"/>
        <w:gridCol w:w="2102"/>
        <w:gridCol w:w="2370"/>
        <w:gridCol w:w="2552"/>
      </w:tblGrid>
      <w:tr w:rsidR="00410517" w:rsidRPr="00410517" w:rsidTr="00410517">
        <w:trPr>
          <w:trHeight w:val="584"/>
        </w:trPr>
        <w:tc>
          <w:tcPr>
            <w:tcW w:w="1634" w:type="dxa"/>
            <w:hideMark/>
          </w:tcPr>
          <w:p w:rsidR="00EE273C" w:rsidRPr="00410517" w:rsidRDefault="00410517" w:rsidP="00410517">
            <w:pPr>
              <w:jc w:val="center"/>
            </w:pPr>
            <w:r w:rsidRPr="00410517">
              <w:rPr>
                <w:bCs/>
              </w:rPr>
              <w:t>Участников</w:t>
            </w:r>
          </w:p>
        </w:tc>
        <w:tc>
          <w:tcPr>
            <w:tcW w:w="2399" w:type="dxa"/>
            <w:hideMark/>
          </w:tcPr>
          <w:p w:rsidR="00EE273C" w:rsidRPr="00410517" w:rsidRDefault="00410517" w:rsidP="00410517">
            <w:pPr>
              <w:jc w:val="center"/>
            </w:pPr>
            <w:r w:rsidRPr="00410517">
              <w:rPr>
                <w:bCs/>
              </w:rPr>
              <w:t>Максимальный балл КИМ</w:t>
            </w:r>
          </w:p>
        </w:tc>
        <w:tc>
          <w:tcPr>
            <w:tcW w:w="2102" w:type="dxa"/>
            <w:hideMark/>
          </w:tcPr>
          <w:p w:rsidR="00EE273C" w:rsidRPr="00410517" w:rsidRDefault="00410517" w:rsidP="00410517">
            <w:pPr>
              <w:ind w:firstLine="4"/>
              <w:jc w:val="center"/>
            </w:pPr>
            <w:r w:rsidRPr="00410517">
              <w:rPr>
                <w:bCs/>
              </w:rPr>
              <w:t>Средний балл</w:t>
            </w:r>
          </w:p>
        </w:tc>
        <w:tc>
          <w:tcPr>
            <w:tcW w:w="2370" w:type="dxa"/>
            <w:hideMark/>
          </w:tcPr>
          <w:p w:rsidR="00EE273C" w:rsidRPr="00410517" w:rsidRDefault="00410517" w:rsidP="00410517">
            <w:pPr>
              <w:jc w:val="center"/>
            </w:pPr>
            <w:r w:rsidRPr="00410517">
              <w:rPr>
                <w:bCs/>
              </w:rPr>
              <w:t>Средний процент выполнения</w:t>
            </w:r>
          </w:p>
        </w:tc>
        <w:tc>
          <w:tcPr>
            <w:tcW w:w="2552" w:type="dxa"/>
            <w:hideMark/>
          </w:tcPr>
          <w:p w:rsidR="00EE273C" w:rsidRPr="00410517" w:rsidRDefault="00410517" w:rsidP="00410517">
            <w:pPr>
              <w:jc w:val="center"/>
            </w:pPr>
            <w:r w:rsidRPr="00410517">
              <w:rPr>
                <w:bCs/>
              </w:rPr>
              <w:t xml:space="preserve">Количество </w:t>
            </w:r>
            <w:proofErr w:type="gramStart"/>
            <w:r w:rsidRPr="00410517">
              <w:rPr>
                <w:bCs/>
              </w:rPr>
              <w:t>участников</w:t>
            </w:r>
            <w:proofErr w:type="gramEnd"/>
            <w:r w:rsidRPr="00410517">
              <w:rPr>
                <w:bCs/>
              </w:rPr>
              <w:t xml:space="preserve"> не преодолевших порог</w:t>
            </w:r>
          </w:p>
        </w:tc>
      </w:tr>
      <w:tr w:rsidR="00410517" w:rsidRPr="00410517" w:rsidTr="00410517">
        <w:trPr>
          <w:trHeight w:val="584"/>
        </w:trPr>
        <w:tc>
          <w:tcPr>
            <w:tcW w:w="1634" w:type="dxa"/>
            <w:vAlign w:val="center"/>
            <w:hideMark/>
          </w:tcPr>
          <w:p w:rsidR="00EE273C" w:rsidRPr="00410517" w:rsidRDefault="00410517" w:rsidP="00410517">
            <w:pPr>
              <w:jc w:val="center"/>
            </w:pPr>
            <w:r w:rsidRPr="00410517">
              <w:rPr>
                <w:bCs/>
              </w:rPr>
              <w:t>4</w:t>
            </w:r>
          </w:p>
        </w:tc>
        <w:tc>
          <w:tcPr>
            <w:tcW w:w="2399" w:type="dxa"/>
            <w:vAlign w:val="center"/>
            <w:hideMark/>
          </w:tcPr>
          <w:p w:rsidR="00EE273C" w:rsidRPr="00410517" w:rsidRDefault="00410517" w:rsidP="00410517">
            <w:pPr>
              <w:jc w:val="center"/>
            </w:pPr>
            <w:r w:rsidRPr="00410517">
              <w:rPr>
                <w:bCs/>
              </w:rPr>
              <w:t>24</w:t>
            </w:r>
          </w:p>
        </w:tc>
        <w:tc>
          <w:tcPr>
            <w:tcW w:w="2102" w:type="dxa"/>
            <w:vAlign w:val="center"/>
            <w:hideMark/>
          </w:tcPr>
          <w:p w:rsidR="00EE273C" w:rsidRPr="00410517" w:rsidRDefault="00410517" w:rsidP="00410517">
            <w:pPr>
              <w:ind w:firstLine="4"/>
              <w:jc w:val="center"/>
            </w:pPr>
            <w:r w:rsidRPr="00410517">
              <w:rPr>
                <w:bCs/>
              </w:rPr>
              <w:t>19,75</w:t>
            </w:r>
          </w:p>
        </w:tc>
        <w:tc>
          <w:tcPr>
            <w:tcW w:w="2370" w:type="dxa"/>
            <w:vAlign w:val="center"/>
            <w:hideMark/>
          </w:tcPr>
          <w:p w:rsidR="00EE273C" w:rsidRPr="00410517" w:rsidRDefault="00410517" w:rsidP="00410517">
            <w:pPr>
              <w:jc w:val="center"/>
            </w:pPr>
            <w:r w:rsidRPr="00410517">
              <w:rPr>
                <w:bCs/>
              </w:rPr>
              <w:t>82,29</w:t>
            </w:r>
          </w:p>
        </w:tc>
        <w:tc>
          <w:tcPr>
            <w:tcW w:w="2552" w:type="dxa"/>
            <w:vAlign w:val="center"/>
            <w:hideMark/>
          </w:tcPr>
          <w:p w:rsidR="00EE273C" w:rsidRPr="00410517" w:rsidRDefault="00410517" w:rsidP="00410517">
            <w:pPr>
              <w:jc w:val="center"/>
            </w:pPr>
            <w:r w:rsidRPr="00410517">
              <w:rPr>
                <w:bCs/>
              </w:rPr>
              <w:t>0</w:t>
            </w:r>
          </w:p>
        </w:tc>
      </w:tr>
    </w:tbl>
    <w:p w:rsidR="00410517" w:rsidRDefault="00410517" w:rsidP="003F58FC">
      <w:pPr>
        <w:spacing w:after="0"/>
        <w:ind w:firstLine="567"/>
        <w:jc w:val="both"/>
      </w:pPr>
    </w:p>
    <w:p w:rsidR="00CB1259" w:rsidRDefault="00410517" w:rsidP="00410517">
      <w:pPr>
        <w:spacing w:after="0"/>
        <w:ind w:firstLine="567"/>
        <w:jc w:val="center"/>
        <w:rPr>
          <w:b/>
          <w:bCs/>
        </w:rPr>
      </w:pPr>
      <w:r w:rsidRPr="00410517">
        <w:rPr>
          <w:b/>
          <w:bCs/>
        </w:rPr>
        <w:t>Профессиональные дефициты учителей начальных классов, выявленные в результате проведения исследования</w:t>
      </w:r>
    </w:p>
    <w:p w:rsidR="00410517" w:rsidRPr="00410517" w:rsidRDefault="00410517" w:rsidP="00410517">
      <w:pPr>
        <w:spacing w:after="0" w:line="240" w:lineRule="auto"/>
        <w:ind w:firstLine="567"/>
        <w:jc w:val="both"/>
      </w:pPr>
      <w:proofErr w:type="gramStart"/>
      <w:r>
        <w:t xml:space="preserve">По </w:t>
      </w:r>
      <w:r w:rsidRPr="00410517">
        <w:t xml:space="preserve">результатам диагностики учителей начальной школы, </w:t>
      </w:r>
      <w:r w:rsidRPr="00410517">
        <w:rPr>
          <w:b/>
          <w:bCs/>
        </w:rPr>
        <w:t xml:space="preserve">наиболее низкие показатели </w:t>
      </w:r>
      <w:r w:rsidRPr="00410517">
        <w:t>– 45% определяют предметные дефициты: оценка знания учителем основ методики преподавания основных предметов начального образования (окружающего мира) как учебного предмета и методов и приемов организации образовательного процесса в начальной школе. 43% - методические дефициты, в частности рассматривалось умение раскрывать на примерах изученные этапы работы с текстом, стратегии смыслового чтения в соответствии с этапом</w:t>
      </w:r>
      <w:proofErr w:type="gramEnd"/>
      <w:r w:rsidRPr="00410517">
        <w:t xml:space="preserve"> деятельности. </w:t>
      </w:r>
    </w:p>
    <w:p w:rsidR="00410517" w:rsidRDefault="00410517" w:rsidP="00410517">
      <w:pPr>
        <w:spacing w:after="0" w:line="240" w:lineRule="auto"/>
        <w:ind w:firstLine="567"/>
        <w:jc w:val="both"/>
      </w:pPr>
      <w:r w:rsidRPr="00410517">
        <w:t xml:space="preserve">Также необходимо отметить, что выявлены предметные дефициты - осуществление умений формировать </w:t>
      </w:r>
      <w:proofErr w:type="spellStart"/>
      <w:r w:rsidRPr="00410517">
        <w:t>метапредметные</w:t>
      </w:r>
      <w:proofErr w:type="spellEnd"/>
      <w:r w:rsidRPr="00410517">
        <w:t xml:space="preserve"> компетенц</w:t>
      </w:r>
      <w:proofErr w:type="gramStart"/>
      <w:r w:rsidRPr="00410517">
        <w:t>ии у о</w:t>
      </w:r>
      <w:proofErr w:type="gramEnd"/>
      <w:r w:rsidRPr="00410517">
        <w:t xml:space="preserve">бучающихся (универсальные учебные действия и </w:t>
      </w:r>
      <w:proofErr w:type="spellStart"/>
      <w:r w:rsidRPr="00410517">
        <w:t>межпредметные</w:t>
      </w:r>
      <w:proofErr w:type="spellEnd"/>
      <w:r w:rsidRPr="00410517">
        <w:t xml:space="preserve"> понятия), в части определять задачу урока, направленную на достижение </w:t>
      </w:r>
      <w:proofErr w:type="spellStart"/>
      <w:r w:rsidRPr="00410517">
        <w:t>метапредметных</w:t>
      </w:r>
      <w:proofErr w:type="spellEnd"/>
      <w:r w:rsidRPr="00410517">
        <w:t xml:space="preserve"> результатов у 49% педагогов. Умение применять разнообразные педагогически обоснованные средства, технологии и методики </w:t>
      </w:r>
      <w:r w:rsidRPr="00410517">
        <w:lastRenderedPageBreak/>
        <w:t>обучения, направленные на достижение поставленных целей, – 46% учителей начальной школы не справились с этим заданием.</w:t>
      </w:r>
    </w:p>
    <w:p w:rsidR="003421B7" w:rsidRPr="003421B7" w:rsidRDefault="003421B7" w:rsidP="00410517">
      <w:pPr>
        <w:spacing w:after="0" w:line="240" w:lineRule="auto"/>
        <w:ind w:firstLine="567"/>
        <w:jc w:val="both"/>
        <w:rPr>
          <w:sz w:val="20"/>
        </w:rPr>
      </w:pPr>
    </w:p>
    <w:p w:rsidR="003421B7" w:rsidRPr="003421B7" w:rsidRDefault="003421B7" w:rsidP="003421B7">
      <w:pPr>
        <w:spacing w:after="0" w:line="240" w:lineRule="auto"/>
        <w:ind w:firstLine="567"/>
        <w:jc w:val="center"/>
        <w:rPr>
          <w:b/>
          <w:bCs/>
        </w:rPr>
      </w:pPr>
      <w:r w:rsidRPr="003421B7">
        <w:rPr>
          <w:b/>
          <w:bCs/>
        </w:rPr>
        <w:t>Предложения по ликвидации предметных, методических дефицитов и дефицитов в деятельности по оцениванию работ обучающихся:</w:t>
      </w:r>
    </w:p>
    <w:p w:rsidR="003421B7" w:rsidRPr="003421B7" w:rsidRDefault="003421B7" w:rsidP="003421B7">
      <w:pPr>
        <w:spacing w:after="0" w:line="240" w:lineRule="auto"/>
        <w:ind w:firstLine="567"/>
        <w:jc w:val="both"/>
      </w:pPr>
      <w:r w:rsidRPr="003421B7">
        <w:t xml:space="preserve">1. осуществлять анализ выявленных проблем, определить мероприятия, адекватные по решению выявленных проблем, провести оценку эффективности проделанной работы; </w:t>
      </w:r>
    </w:p>
    <w:p w:rsidR="003421B7" w:rsidRDefault="003421B7" w:rsidP="003421B7">
      <w:pPr>
        <w:spacing w:after="0" w:line="240" w:lineRule="auto"/>
        <w:ind w:firstLine="567"/>
        <w:jc w:val="both"/>
      </w:pPr>
      <w:r w:rsidRPr="003421B7">
        <w:t xml:space="preserve">2. модернизировать </w:t>
      </w:r>
      <w:proofErr w:type="gramStart"/>
      <w:r w:rsidRPr="003421B7">
        <w:t>содержательно-технологическою</w:t>
      </w:r>
      <w:proofErr w:type="gramEnd"/>
      <w:r w:rsidRPr="003421B7">
        <w:t xml:space="preserve"> модель повышения квалификации педагогических кадров</w:t>
      </w:r>
      <w:r>
        <w:t>;</w:t>
      </w:r>
    </w:p>
    <w:p w:rsidR="003421B7" w:rsidRDefault="003421B7" w:rsidP="003421B7">
      <w:pPr>
        <w:spacing w:after="0" w:line="240" w:lineRule="auto"/>
        <w:ind w:firstLine="567"/>
        <w:jc w:val="both"/>
      </w:pPr>
      <w:r>
        <w:t xml:space="preserve">3. </w:t>
      </w:r>
      <w:r w:rsidRPr="003421B7">
        <w:t>осуществлять анализ эффективности системы наставничества в решении актуальных проблем управления качеством образования в образовательной организации;</w:t>
      </w:r>
    </w:p>
    <w:p w:rsidR="003421B7" w:rsidRDefault="003421B7" w:rsidP="003421B7">
      <w:pPr>
        <w:spacing w:after="0" w:line="240" w:lineRule="auto"/>
        <w:ind w:firstLine="567"/>
        <w:jc w:val="both"/>
      </w:pPr>
      <w:r>
        <w:t xml:space="preserve">4. </w:t>
      </w:r>
      <w:r w:rsidRPr="003421B7">
        <w:t>осуществлять анализ актуальности выбранной методической темы образовательной организации и эффективности деятельности методической службы в решении выявленных дефицитов у педагогов;</w:t>
      </w:r>
    </w:p>
    <w:p w:rsidR="003421B7" w:rsidRDefault="003421B7" w:rsidP="003421B7">
      <w:pPr>
        <w:spacing w:after="0" w:line="240" w:lineRule="auto"/>
        <w:ind w:firstLine="567"/>
        <w:jc w:val="both"/>
      </w:pPr>
      <w:r>
        <w:t xml:space="preserve">5. </w:t>
      </w:r>
      <w:r w:rsidRPr="003421B7">
        <w:t>разработать и использовать контрольно-измерительные материалы в условиях оценивания результатов федеральных государственных образовательных стандартов начального общего образования;</w:t>
      </w:r>
    </w:p>
    <w:p w:rsidR="003421B7" w:rsidRDefault="003421B7" w:rsidP="003421B7">
      <w:pPr>
        <w:spacing w:after="0" w:line="240" w:lineRule="auto"/>
        <w:ind w:firstLine="567"/>
        <w:jc w:val="both"/>
      </w:pPr>
      <w:r>
        <w:t xml:space="preserve">6. </w:t>
      </w:r>
      <w:r w:rsidRPr="003421B7">
        <w:t>включение подходов оценивания компетентности педагогов в систему методического сопровождения в образовательном учреждении;</w:t>
      </w:r>
    </w:p>
    <w:p w:rsidR="003421B7" w:rsidRDefault="003421B7" w:rsidP="003421B7">
      <w:pPr>
        <w:spacing w:after="0" w:line="240" w:lineRule="auto"/>
        <w:ind w:firstLine="567"/>
        <w:jc w:val="both"/>
      </w:pPr>
      <w:r>
        <w:t xml:space="preserve">7. </w:t>
      </w:r>
      <w:r w:rsidRPr="003421B7">
        <w:t>включение подходов оценивания процедур ЕСОКО в систему методического сопровождения педагогов и дидактического обеспечения обучающихся, установление результатов независимой системы оценки качества и результатов ВСОКО (как инструмента управления качеством и ресурса ВШК);</w:t>
      </w:r>
    </w:p>
    <w:p w:rsidR="003421B7" w:rsidRDefault="003421B7" w:rsidP="003421B7">
      <w:pPr>
        <w:spacing w:after="0" w:line="240" w:lineRule="auto"/>
        <w:ind w:firstLine="567"/>
        <w:jc w:val="both"/>
      </w:pPr>
      <w:r>
        <w:t xml:space="preserve">8. </w:t>
      </w:r>
      <w:r w:rsidRPr="003421B7">
        <w:t>формирование умения четко планировать и прогнозировать результаты своего педагогического труда в соотношении со средствами их достижения;</w:t>
      </w:r>
    </w:p>
    <w:p w:rsidR="00143935" w:rsidRPr="00143935" w:rsidRDefault="003421B7" w:rsidP="00143935">
      <w:pPr>
        <w:spacing w:after="0" w:line="240" w:lineRule="auto"/>
        <w:ind w:firstLine="567"/>
        <w:jc w:val="both"/>
      </w:pPr>
      <w:r>
        <w:t xml:space="preserve">9. </w:t>
      </w:r>
      <w:r w:rsidR="00143935" w:rsidRPr="00143935">
        <w:t xml:space="preserve">формирование оценочной компетентности педагогов. Ориентация образования на формирование ключевых компетентностей личности предполагает необходимость формирования оценочной компетентности обучающихся в системе образования, следовательно, актуальной является проблема подготовки педагогов по данному направлению. </w:t>
      </w:r>
    </w:p>
    <w:p w:rsidR="003421B7" w:rsidRPr="003421B7" w:rsidRDefault="003421B7" w:rsidP="003421B7">
      <w:pPr>
        <w:spacing w:after="0" w:line="240" w:lineRule="auto"/>
        <w:ind w:firstLine="567"/>
        <w:jc w:val="both"/>
      </w:pPr>
      <w:r w:rsidRPr="003421B7">
        <w:t xml:space="preserve"> </w:t>
      </w:r>
    </w:p>
    <w:p w:rsidR="003421B7" w:rsidRPr="003421B7" w:rsidRDefault="003421B7" w:rsidP="003421B7">
      <w:pPr>
        <w:spacing w:after="0" w:line="240" w:lineRule="auto"/>
        <w:ind w:firstLine="567"/>
        <w:jc w:val="both"/>
      </w:pPr>
    </w:p>
    <w:p w:rsidR="003421B7" w:rsidRPr="003421B7" w:rsidRDefault="003421B7" w:rsidP="003421B7">
      <w:pPr>
        <w:spacing w:after="0" w:line="240" w:lineRule="auto"/>
        <w:ind w:firstLine="567"/>
        <w:jc w:val="both"/>
      </w:pPr>
    </w:p>
    <w:p w:rsidR="003421B7" w:rsidRPr="003421B7" w:rsidRDefault="003421B7" w:rsidP="003421B7">
      <w:pPr>
        <w:spacing w:after="0" w:line="240" w:lineRule="auto"/>
        <w:ind w:firstLine="567"/>
        <w:jc w:val="both"/>
      </w:pPr>
      <w:r w:rsidRPr="003421B7">
        <w:t xml:space="preserve"> </w:t>
      </w:r>
    </w:p>
    <w:p w:rsidR="003421B7" w:rsidRPr="003421B7" w:rsidRDefault="003421B7" w:rsidP="003421B7">
      <w:pPr>
        <w:spacing w:after="0" w:line="240" w:lineRule="auto"/>
        <w:ind w:firstLine="567"/>
        <w:jc w:val="both"/>
      </w:pPr>
      <w:r w:rsidRPr="003421B7">
        <w:t xml:space="preserve"> </w:t>
      </w:r>
    </w:p>
    <w:p w:rsidR="003421B7" w:rsidRPr="003421B7" w:rsidRDefault="003421B7" w:rsidP="003421B7">
      <w:pPr>
        <w:spacing w:after="0" w:line="240" w:lineRule="auto"/>
        <w:ind w:firstLine="567"/>
        <w:jc w:val="both"/>
      </w:pPr>
      <w:r w:rsidRPr="003421B7">
        <w:t xml:space="preserve"> </w:t>
      </w:r>
    </w:p>
    <w:p w:rsidR="003421B7" w:rsidRPr="003421B7" w:rsidRDefault="003421B7" w:rsidP="003421B7">
      <w:pPr>
        <w:spacing w:after="0" w:line="240" w:lineRule="auto"/>
        <w:ind w:firstLine="567"/>
        <w:jc w:val="both"/>
      </w:pPr>
    </w:p>
    <w:p w:rsidR="003421B7" w:rsidRPr="00410517" w:rsidRDefault="003421B7" w:rsidP="003421B7">
      <w:pPr>
        <w:spacing w:after="0" w:line="240" w:lineRule="auto"/>
        <w:ind w:firstLine="567"/>
        <w:jc w:val="both"/>
      </w:pPr>
    </w:p>
    <w:sectPr w:rsidR="003421B7" w:rsidRPr="00410517" w:rsidSect="00CF61DE">
      <w:pgSz w:w="11906" w:h="16838"/>
      <w:pgMar w:top="1134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26D60"/>
    <w:multiLevelType w:val="hybridMultilevel"/>
    <w:tmpl w:val="9CA60F5A"/>
    <w:lvl w:ilvl="0" w:tplc="5144FE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DBE418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8E6A36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D4A388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5CA911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8E29A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6E6EC1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2B0CB3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E0ADDC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BC441D"/>
    <w:multiLevelType w:val="hybridMultilevel"/>
    <w:tmpl w:val="9B3A6BFA"/>
    <w:lvl w:ilvl="0" w:tplc="DF6269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AA0862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700DAA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6C2CFE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53E32D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5485BA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34E69B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FF0D2A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A5401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A670A4"/>
    <w:multiLevelType w:val="hybridMultilevel"/>
    <w:tmpl w:val="35DA68FA"/>
    <w:lvl w:ilvl="0" w:tplc="C630D8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3D2D2B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D26518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BB22E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C5EBC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1862B4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2602D4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36EC2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E9AC3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BB0"/>
    <w:rsid w:val="0002510F"/>
    <w:rsid w:val="000F008F"/>
    <w:rsid w:val="00143935"/>
    <w:rsid w:val="001D51CB"/>
    <w:rsid w:val="001E024A"/>
    <w:rsid w:val="002236B3"/>
    <w:rsid w:val="00255714"/>
    <w:rsid w:val="003421B7"/>
    <w:rsid w:val="003C7BB0"/>
    <w:rsid w:val="003F58FC"/>
    <w:rsid w:val="00410517"/>
    <w:rsid w:val="006843C5"/>
    <w:rsid w:val="008153C7"/>
    <w:rsid w:val="00B258BF"/>
    <w:rsid w:val="00B737A4"/>
    <w:rsid w:val="00BF1E8A"/>
    <w:rsid w:val="00C45BF2"/>
    <w:rsid w:val="00CB1259"/>
    <w:rsid w:val="00CF61DE"/>
    <w:rsid w:val="00EE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57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F008F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10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57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F008F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10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9209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706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071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819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2888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136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17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6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9736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547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941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2021-09-12T11:48:00Z</dcterms:created>
  <dcterms:modified xsi:type="dcterms:W3CDTF">2021-09-14T11:47:00Z</dcterms:modified>
</cp:coreProperties>
</file>