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6161" w:type="dxa"/>
        <w:tblInd w:w="-431" w:type="dxa"/>
        <w:tblLook w:val="04A0" w:firstRow="1" w:lastRow="0" w:firstColumn="1" w:lastColumn="0" w:noHBand="0" w:noVBand="1"/>
      </w:tblPr>
      <w:tblGrid>
        <w:gridCol w:w="7797"/>
        <w:gridCol w:w="8364"/>
      </w:tblGrid>
      <w:tr w:rsidR="003A24A1" w:rsidTr="00D74AD6">
        <w:trPr>
          <w:trHeight w:val="412"/>
        </w:trPr>
        <w:tc>
          <w:tcPr>
            <w:tcW w:w="7797" w:type="dxa"/>
          </w:tcPr>
          <w:p w:rsidR="003A24A1" w:rsidRPr="00D74AD6" w:rsidRDefault="00D74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Сильные стороны </w:t>
            </w:r>
            <w:r w:rsidRPr="00D74AD6">
              <w:rPr>
                <w:rFonts w:ascii="Times New Roman" w:hAnsi="Times New Roman" w:cs="Times New Roman"/>
                <w:b/>
                <w:sz w:val="24"/>
                <w:szCs w:val="24"/>
              </w:rPr>
              <w:t>(хорошо выполняемые задания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рекомендации</w:t>
            </w:r>
            <w:r w:rsidRPr="00D74AD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364" w:type="dxa"/>
          </w:tcPr>
          <w:p w:rsidR="003A24A1" w:rsidRPr="00D74AD6" w:rsidRDefault="00D74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D6"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 (задания с низким уровнем выполнения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пути устранения дефицитов</w:t>
            </w:r>
            <w:r w:rsidRPr="00D74AD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74AD6" w:rsidTr="00D74AD6">
        <w:trPr>
          <w:trHeight w:val="4095"/>
        </w:trPr>
        <w:tc>
          <w:tcPr>
            <w:tcW w:w="7797" w:type="dxa"/>
          </w:tcPr>
          <w:p w:rsidR="00D74AD6" w:rsidRDefault="00D74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D74AD6" w:rsidRPr="00D74AD6" w:rsidRDefault="00D74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4A1" w:rsidTr="00D74AD6">
        <w:trPr>
          <w:trHeight w:val="562"/>
        </w:trPr>
        <w:tc>
          <w:tcPr>
            <w:tcW w:w="7797" w:type="dxa"/>
          </w:tcPr>
          <w:p w:rsidR="003A24A1" w:rsidRPr="00D74AD6" w:rsidRDefault="00D74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D6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 (повышение уровня выполнения задний до нижней границы «коридора решаемости»</w:t>
            </w:r>
            <w:r w:rsidR="000709DE">
              <w:rPr>
                <w:rFonts w:ascii="Times New Roman" w:hAnsi="Times New Roman" w:cs="Times New Roman"/>
                <w:b/>
                <w:sz w:val="24"/>
                <w:szCs w:val="24"/>
              </w:rPr>
              <w:t>, пути устранения дефицитов</w:t>
            </w:r>
            <w:r w:rsidRPr="00D74AD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364" w:type="dxa"/>
          </w:tcPr>
          <w:p w:rsidR="003A24A1" w:rsidRPr="00D74AD6" w:rsidRDefault="00D74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AD6">
              <w:rPr>
                <w:rFonts w:ascii="Times New Roman" w:hAnsi="Times New Roman" w:cs="Times New Roman"/>
                <w:b/>
                <w:sz w:val="24"/>
                <w:szCs w:val="24"/>
              </w:rPr>
              <w:t>Угрозы (задания ниже границы «коридора решаемости»</w:t>
            </w:r>
            <w:r w:rsidR="000709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пути устранения дефицитов</w:t>
            </w:r>
            <w:r w:rsidRPr="00D74AD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74AD6" w:rsidTr="00D74AD6">
        <w:trPr>
          <w:trHeight w:val="5370"/>
        </w:trPr>
        <w:tc>
          <w:tcPr>
            <w:tcW w:w="7797" w:type="dxa"/>
          </w:tcPr>
          <w:p w:rsidR="00D74AD6" w:rsidRDefault="00D74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D74AD6" w:rsidRDefault="00D74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5F01DC" w:rsidRPr="003A24A1" w:rsidRDefault="000709DE">
      <w:pPr>
        <w:rPr>
          <w:rFonts w:ascii="Times New Roman" w:hAnsi="Times New Roman" w:cs="Times New Roman"/>
          <w:sz w:val="24"/>
          <w:szCs w:val="24"/>
        </w:rPr>
      </w:pPr>
    </w:p>
    <w:sectPr w:rsidR="005F01DC" w:rsidRPr="003A24A1" w:rsidSect="00D74AD6">
      <w:pgSz w:w="16838" w:h="11906" w:orient="landscape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3"/>
    <w:rsid w:val="000709DE"/>
    <w:rsid w:val="0023594B"/>
    <w:rsid w:val="003A24A1"/>
    <w:rsid w:val="00BA78D3"/>
    <w:rsid w:val="00CC3C7D"/>
    <w:rsid w:val="00D7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B9696E-6C86-418A-81B3-D6F00C0CF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2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2018-10-31T16:59:00Z</dcterms:created>
  <dcterms:modified xsi:type="dcterms:W3CDTF">2018-10-31T17:17:00Z</dcterms:modified>
</cp:coreProperties>
</file>